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194.png" ContentType="image/png"/>
  <Override PartName="/word/media/rId182.png" ContentType="image/png"/>
  <Override PartName="/word/media/rId207.png" ContentType="image/png"/>
  <Override PartName="/word/media/rId201.png" ContentType="image/png"/>
  <Override PartName="/word/media/rId86.png" ContentType="image/png"/>
  <Override PartName="/word/media/rId100.png" ContentType="image/png"/>
  <Override PartName="/word/media/rId58.png" ContentType="image/png"/>
  <Override PartName="/word/media/rId96.png" ContentType="image/png"/>
  <Override PartName="/word/media/rId188.png" ContentType="image/png"/>
  <Override PartName="/word/media/rId32.png" ContentType="image/png"/>
  <Override PartName="/word/media/rId75.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MarineSDMs</w:t>
      </w:r>
    </w:p>
    <w:p>
      <w:pPr>
        <w:pStyle w:val="Subtitle"/>
      </w:pPr>
      <w:r>
        <w:t xml:space="preserve">Marine</w:t>
      </w:r>
      <w:r>
        <w:t xml:space="preserve"> </w:t>
      </w:r>
      <w:r>
        <w:t xml:space="preserve">Species</w:t>
      </w:r>
      <w:r>
        <w:t xml:space="preserve"> </w:t>
      </w:r>
      <w:r>
        <w:t xml:space="preserve">Distribution</w:t>
      </w:r>
      <w:r>
        <w:t xml:space="preserve"> </w:t>
      </w:r>
      <w:r>
        <w:t xml:space="preserve">Models</w:t>
      </w:r>
    </w:p>
    <w:p>
      <w:pPr>
        <w:pStyle w:val="Author"/>
      </w:pPr>
      <w:r>
        <w:t xml:space="preserve">Benjamin</w:t>
      </w:r>
      <w:r>
        <w:t xml:space="preserve"> </w:t>
      </w:r>
      <w:r>
        <w:t xml:space="preserve">D.</w:t>
      </w:r>
      <w:r>
        <w:t xml:space="preserve"> </w:t>
      </w:r>
      <w:r>
        <w:t xml:space="preserve">Best</w:t>
      </w:r>
    </w:p>
    <w:p>
      <w:pPr>
        <w:pStyle w:val="Date"/>
      </w:pPr>
      <w:r>
        <w:t xml:space="preserve">2024-03-15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46" w:name="introduction"/>
    <w:p>
      <w:pPr>
        <w:pStyle w:val="Heading1"/>
      </w:pPr>
      <w:r>
        <w:t xml:space="preserve">1. Introduction</w:t>
      </w:r>
    </w:p>
    <w:bookmarkStart w:id="22" w:name="background"/>
    <w:p>
      <w:pPr>
        <w:pStyle w:val="Heading2"/>
      </w:pPr>
      <w:r>
        <w:t xml:space="preserve">1.1 Background</w:t>
      </w:r>
    </w:p>
    <w:p>
      <w:pPr>
        <w:pStyle w:val="FirstParagraph"/>
      </w:pPr>
      <w:r>
        <w:t xml:space="preserve">The best available global distributions are presently AquaMaps</w:t>
      </w:r>
      <w:r>
        <w:t xml:space="preserve"> </w:t>
      </w:r>
      <w:r>
        <w:t xml:space="preserve">(Kaschner et al. 2006; Ready et al. 2010)</w:t>
      </w:r>
      <w:r>
        <w:t xml:space="preserve"> </w:t>
      </w:r>
      <w:r>
        <w:t xml:space="preserve">with supplementation by IUCN RedList range maps</w:t>
      </w:r>
      <w:r>
        <w:rPr>
          <w:rStyle w:val="FootnoteReference"/>
        </w:rPr>
        <w:footnoteReference w:id="20"/>
      </w:r>
      <w:r>
        <w:t xml:space="preserve">. These have been used to calculate the biodiversity within national waters</w:t>
      </w:r>
      <w:r>
        <w:t xml:space="preserve"> </w:t>
      </w:r>
      <w:r>
        <w:t xml:space="preserve">(Halpern et al. 2012)</w:t>
      </w:r>
      <w:r>
        <w:t xml:space="preserve"> </w:t>
      </w:r>
      <w:r>
        <w:t xml:space="preserve">as well as beyond in the high seas</w:t>
      </w:r>
      <w:r>
        <w:t xml:space="preserve"> </w:t>
      </w:r>
      <w:r>
        <w:t xml:space="preserve">(Visalli et al. 2020)</w:t>
      </w:r>
      <w:r>
        <w:t xml:space="preserve">.</w:t>
      </w:r>
    </w:p>
    <w:bookmarkEnd w:id="22"/>
    <w:bookmarkStart w:id="23" w:name="goals"/>
    <w:p>
      <w:pPr>
        <w:pStyle w:val="Heading2"/>
      </w:pPr>
      <w:r>
        <w:t xml:space="preserve">1.2 Goals</w:t>
      </w:r>
    </w:p>
    <w:p>
      <w:pPr>
        <w:pStyle w:val="FirstParagraph"/>
      </w:pPr>
      <w:r>
        <w:t xml:space="preserve">This book aims to capture the overview and details of modeling species distributions in the marine environment for the purposes of advancing the status quo of global and U.S. national species distributions along the following dimensions:</w:t>
      </w:r>
    </w:p>
    <w:p>
      <w:pPr>
        <w:numPr>
          <w:ilvl w:val="0"/>
          <w:numId w:val="1001"/>
        </w:numPr>
      </w:pPr>
      <w:r>
        <w:rPr>
          <w:bCs/>
          <w:b/>
        </w:rPr>
        <w:t xml:space="preserve">Space</w:t>
      </w:r>
      <w:r>
        <w:br/>
      </w:r>
      <w:r>
        <w:t xml:space="preserve">The current AquaMaps distributions are</w:t>
      </w:r>
      <w:r>
        <w:t xml:space="preserve"> </w:t>
      </w:r>
      <m:oMath>
        <m:r>
          <m:t>1</m:t>
        </m:r>
        <m:r>
          <m:rPr>
            <m:sty m:val="p"/>
          </m:rPr>
          <m:t>/</m:t>
        </m:r>
        <m:r>
          <m:t>2</m:t>
        </m:r>
      </m:oMath>
      <w:r>
        <w:t xml:space="preserve">º (~55 km at equator), whereas the best available global bathymetry is</w:t>
      </w:r>
      <w:r>
        <w:t xml:space="preserve"> </w:t>
      </w:r>
      <m:oMath>
        <m:r>
          <m:t>1</m:t>
        </m:r>
        <m:r>
          <m:rPr>
            <m:sty m:val="p"/>
          </m:rPr>
          <m:t>/</m:t>
        </m:r>
        <m:r>
          <m:t>240</m:t>
        </m:r>
      </m:oMath>
      <w:r>
        <w:t xml:space="preserve">º (&lt; 0.5 km).</w:t>
      </w:r>
    </w:p>
    <w:p>
      <w:pPr>
        <w:numPr>
          <w:ilvl w:val="0"/>
          <w:numId w:val="1001"/>
        </w:numPr>
      </w:pPr>
      <w:r>
        <w:rPr>
          <w:bCs/>
          <w:b/>
        </w:rPr>
        <w:t xml:space="preserve">Time</w:t>
      </w:r>
      <w:r>
        <w:br/>
      </w:r>
      <w:r>
        <w:t xml:space="preserve">The current AquaMaps distributions are based on static climatic averages over all seasons, which does not capture temporal dynamics: seasonally within a year, nor long-term climate change trends. This will necessitate sampling the environment contemporaneously with species observations before fitting the model and predicting to different environmental snapshots.</w:t>
      </w:r>
    </w:p>
    <w:p>
      <w:pPr>
        <w:numPr>
          <w:ilvl w:val="0"/>
          <w:numId w:val="1001"/>
        </w:numPr>
      </w:pPr>
      <w:r>
        <w:rPr>
          <w:bCs/>
          <w:b/>
        </w:rPr>
        <w:t xml:space="preserve">Environment</w:t>
      </w:r>
      <w:r>
        <w:br/>
      </w:r>
      <w:r>
        <w:t xml:space="preserve">Other environmental variables besides the initial physiographic (depth) and oceanographic (temperature, chlorophyll, primary productivity and ice) may elicit an improved statistical fit, related to species’ environmental niche. Some candidates include: temperature fronts, eddy kinetic energy, distance from shore, distance from shelf.</w:t>
      </w:r>
    </w:p>
    <w:p>
      <w:pPr>
        <w:numPr>
          <w:ilvl w:val="0"/>
          <w:numId w:val="1001"/>
        </w:numPr>
      </w:pPr>
      <w:r>
        <w:rPr>
          <w:bCs/>
          <w:b/>
        </w:rPr>
        <w:t xml:space="preserve">Biology</w:t>
      </w:r>
      <w:r>
        <w:br/>
      </w:r>
      <w:r>
        <w:t xml:space="preserve">Where sufficient observations exist, additional models should be developed highlighting differences between:</w:t>
      </w:r>
    </w:p>
    <w:p>
      <w:pPr>
        <w:numPr>
          <w:ilvl w:val="1"/>
          <w:numId w:val="1002"/>
        </w:numPr>
      </w:pPr>
      <w:r>
        <w:rPr>
          <w:bCs/>
          <w:b/>
        </w:rPr>
        <w:t xml:space="preserve">Life stage</w:t>
      </w:r>
      <w:r>
        <w:t xml:space="preserve">, e.g. larval vs adult.</w:t>
      </w:r>
    </w:p>
    <w:p>
      <w:pPr>
        <w:numPr>
          <w:ilvl w:val="1"/>
          <w:numId w:val="1002"/>
        </w:numPr>
      </w:pPr>
      <w:r>
        <w:rPr>
          <w:bCs/>
          <w:b/>
        </w:rPr>
        <w:t xml:space="preserve">Gender</w:t>
      </w:r>
      <w:r>
        <w:t xml:space="preserve"> </w:t>
      </w:r>
      <w:r>
        <w:t xml:space="preserve">where varies, such as male sperm whales being more cosmopolitan.</w:t>
      </w:r>
    </w:p>
    <w:p>
      <w:pPr>
        <w:numPr>
          <w:ilvl w:val="1"/>
          <w:numId w:val="1002"/>
        </w:numPr>
      </w:pPr>
      <w:r>
        <w:rPr>
          <w:bCs/>
          <w:b/>
        </w:rPr>
        <w:t xml:space="preserve">Subpopulations</w:t>
      </w:r>
      <w:r>
        <w:t xml:space="preserve"> </w:t>
      </w:r>
      <w:r>
        <w:t xml:space="preserve">for understanding metapopulation dynamics</w:t>
      </w:r>
    </w:p>
    <w:p>
      <w:pPr>
        <w:numPr>
          <w:ilvl w:val="1"/>
          <w:numId w:val="1002"/>
        </w:numPr>
      </w:pPr>
      <w:r>
        <w:rPr>
          <w:bCs/>
          <w:b/>
        </w:rPr>
        <w:t xml:space="preserve">Behavior</w:t>
      </w:r>
      <w:r>
        <w:t xml:space="preserve">, such as migrating, feeding or breeding.</w:t>
      </w:r>
    </w:p>
    <w:p>
      <w:pPr>
        <w:pStyle w:val="FirstParagraph"/>
      </w:pPr>
      <w:r>
        <w:t xml:space="preserve">By definition</w:t>
      </w:r>
      <w:r>
        <w:t xml:space="preserve"> </w:t>
      </w:r>
      <w:r>
        <w:t xml:space="preserve">MBON</w:t>
      </w:r>
      <w:r>
        <w:t xml:space="preserve">Marine Biodiversity Observation Network; see MarineBON.org</w:t>
      </w:r>
      <w:r>
        <w:t xml:space="preserve"> </w:t>
      </w:r>
      <w:r>
        <w:t xml:space="preserve">is a network, so this is inclusive of and meant for all participants.</w:t>
      </w:r>
    </w:p>
    <w:bookmarkEnd w:id="23"/>
    <w:bookmarkStart w:id="31" w:name="motivations"/>
    <w:p>
      <w:pPr>
        <w:pStyle w:val="Heading2"/>
      </w:pPr>
      <w:r>
        <w:t xml:space="preserve">1.3 Motivations</w:t>
      </w:r>
    </w:p>
    <w:p>
      <w:pPr>
        <w:numPr>
          <w:ilvl w:val="0"/>
          <w:numId w:val="1003"/>
        </w:numPr>
      </w:pPr>
      <w:hyperlink r:id="rId24">
        <w:r>
          <w:rPr>
            <w:rStyle w:val="Hyperlink"/>
          </w:rPr>
          <w:t xml:space="preserve">AquaMaps.org</w:t>
        </w:r>
      </w:hyperlink>
      <w:r>
        <w:br/>
      </w:r>
      <w:r>
        <w:t xml:space="preserve">AquaMaps</w:t>
      </w:r>
      <w:r>
        <w:t xml:space="preserve"> </w:t>
      </w:r>
      <w:r>
        <w:t xml:space="preserve">(Kaschner et al. 2006; Ready et al. 2010)</w:t>
      </w:r>
      <w:r>
        <w:t xml:space="preserve"> </w:t>
      </w:r>
      <w:r>
        <w:t xml:space="preserve">represents a massive amount of work to gather parameters for &gt;33.5K marine species, including areas to mask out.</w:t>
      </w:r>
    </w:p>
    <w:p>
      <w:pPr>
        <w:numPr>
          <w:ilvl w:val="0"/>
          <w:numId w:val="1003"/>
        </w:numPr>
      </w:pPr>
      <w:hyperlink r:id="rId25">
        <w:r>
          <w:rPr>
            <w:rStyle w:val="Hyperlink"/>
          </w:rPr>
          <w:t xml:space="preserve">OBIS.org</w:t>
        </w:r>
      </w:hyperlink>
      <w:r>
        <w:br/>
      </w:r>
      <w:r>
        <w:t xml:space="preserve">The Ocean Biogeographic Information System</w:t>
      </w:r>
      <w:r>
        <w:t xml:space="preserve"> </w:t>
      </w:r>
      <w:r>
        <w:t xml:space="preserve">(Klein et al. 2019; Grassle 2000)</w:t>
      </w:r>
      <w:r>
        <w:t xml:space="preserve"> </w:t>
      </w:r>
      <w:r>
        <w:t xml:space="preserve">is the central portal for continuously added observations with extra flags for quality control, all of which makes marine SDMs possible.</w:t>
      </w:r>
    </w:p>
    <w:p>
      <w:pPr>
        <w:numPr>
          <w:ilvl w:val="0"/>
          <w:numId w:val="1003"/>
        </w:numPr>
      </w:pPr>
      <w:r>
        <w:rPr>
          <w:bCs/>
          <w:b/>
        </w:rPr>
        <w:t xml:space="preserve">Modeling</w:t>
      </w:r>
      <w:r>
        <w:t xml:space="preserve"> </w:t>
      </w:r>
      <w:r>
        <w:t xml:space="preserve">methods have dramatically improved over time and are ripe for fresh application. The R package</w:t>
      </w:r>
      <w:r>
        <w:t xml:space="preserve"> </w:t>
      </w:r>
      <w:r>
        <w:rPr>
          <w:rStyle w:val="VerbatimChar"/>
        </w:rPr>
        <w:t xml:space="preserve">dismo</w:t>
      </w:r>
      <w:r>
        <w:t xml:space="preserve"> </w:t>
      </w:r>
      <w:r>
        <w:t xml:space="preserve">originally came came out with an</w:t>
      </w:r>
      <w:r>
        <w:t xml:space="preserve"> </w:t>
      </w:r>
      <w:hyperlink r:id="rId26">
        <w:r>
          <w:rPr>
            <w:rStyle w:val="Hyperlink"/>
          </w:rPr>
          <w:t xml:space="preserve">SDM vignette</w:t>
        </w:r>
      </w:hyperlink>
      <w:r>
        <w:t xml:space="preserve"> </w:t>
      </w:r>
      <w:r>
        <w:t xml:space="preserve">as a practical supplement to their excellent review of SDMs</w:t>
      </w:r>
      <w:r>
        <w:t xml:space="preserve"> </w:t>
      </w:r>
      <w:r>
        <w:t xml:space="preserve">(Elith and Leathwick 2009)</w:t>
      </w:r>
      <w:r>
        <w:t xml:space="preserve"> </w:t>
      </w:r>
      <w:r>
        <w:t xml:space="preserve">and using the Maxent algorithm</w:t>
      </w:r>
      <w:r>
        <w:t xml:space="preserve"> </w:t>
      </w:r>
      <w:r>
        <w:t xml:space="preserve">(Elith et al. 2011)</w:t>
      </w:r>
      <w:r>
        <w:t xml:space="preserve">. The raster package furthered that (raster</w:t>
      </w:r>
      <w:r>
        <w:t xml:space="preserve"> </w:t>
      </w:r>
      <w:hyperlink r:id="rId27">
        <w:r>
          <w:rPr>
            <w:rStyle w:val="Hyperlink"/>
          </w:rPr>
          <w:t xml:space="preserve">sdm</w:t>
        </w:r>
      </w:hyperlink>
      <w:r>
        <w:t xml:space="preserve">) and now there’s</w:t>
      </w:r>
      <w:r>
        <w:t xml:space="preserve"> </w:t>
      </w:r>
      <w:hyperlink r:id="rId28">
        <w:r>
          <w:rPr>
            <w:rStyle w:val="VerbatimChar"/>
          </w:rPr>
          <w:t xml:space="preserve">terra</w:t>
        </w:r>
        <w:r>
          <w:rPr>
            <w:rStyle w:val="Hyperlink"/>
          </w:rPr>
          <w:t xml:space="preserve"> </w:t>
        </w:r>
        <w:r>
          <w:rPr>
            <w:rStyle w:val="Hyperlink"/>
          </w:rPr>
          <w:t xml:space="preserve">sdm</w:t>
        </w:r>
      </w:hyperlink>
      <w:r>
        <w:t xml:space="preserve">. Alongside these developments has been a boon of cloud-computing, particularly Google Earth Engine</w:t>
      </w:r>
      <w:r>
        <w:t xml:space="preserve"> </w:t>
      </w:r>
      <w:r>
        <w:t xml:space="preserve">(Gorelick et al. 2017; Campos et al. 2023)</w:t>
      </w:r>
      <w:r>
        <w:t xml:space="preserve">, allowing for dense global raster processing.</w:t>
      </w:r>
    </w:p>
    <w:p>
      <w:pPr>
        <w:numPr>
          <w:ilvl w:val="0"/>
          <w:numId w:val="1003"/>
        </w:numPr>
      </w:pPr>
      <w:r>
        <w:t xml:space="preserve">The world is quickly moving towards a future trying to conserve 30% of the oceans by 2030, so called</w:t>
      </w:r>
      <w:r>
        <w:t xml:space="preserve"> </w:t>
      </w:r>
      <w:r>
        <w:t xml:space="preserve">“</w:t>
      </w:r>
      <w:hyperlink r:id="rId29">
        <w:r>
          <w:rPr>
            <w:rStyle w:val="Hyperlink"/>
            <w:bCs/>
            <w:b/>
          </w:rPr>
          <w:t xml:space="preserve">30 by 30</w:t>
        </w:r>
      </w:hyperlink>
      <w:r>
        <w:t xml:space="preserve">”</w:t>
      </w:r>
      <w:r>
        <w:t xml:space="preserve">. In the U.S., this is</w:t>
      </w:r>
      <w:r>
        <w:t xml:space="preserve"> </w:t>
      </w:r>
      <w:hyperlink r:id="rId30">
        <w:r>
          <w:rPr>
            <w:rStyle w:val="Hyperlink"/>
          </w:rPr>
          <w:t xml:space="preserve">America the Beautiful</w:t>
        </w:r>
      </w:hyperlink>
      <w:r>
        <w:t xml:space="preserve"> </w:t>
      </w:r>
      <w:r>
        <w:t xml:space="preserve">initiative</w:t>
      </w:r>
      <w:r>
        <w:t xml:space="preserve"> </w:t>
      </w:r>
      <w:r>
        <w:t xml:space="preserve">(Carroll, Noss, and Stein 2022)</w:t>
      </w:r>
      <w:r>
        <w:t xml:space="preserve"> </w:t>
      </w:r>
      <w:r>
        <w:t xml:space="preserve">for which</w:t>
      </w:r>
      <w:r>
        <w:t xml:space="preserve"> </w:t>
      </w:r>
      <w:r>
        <w:t xml:space="preserve">MBON</w:t>
      </w:r>
      <w:r>
        <w:t xml:space="preserve">Marine Biodiversity Observation Network; see MarineBON.org</w:t>
      </w:r>
      <w:r>
        <w:t xml:space="preserve"> </w:t>
      </w:r>
      <w:r>
        <w:t xml:space="preserve">is well poised to inform</w:t>
      </w:r>
      <w:r>
        <w:t xml:space="preserve"> </w:t>
      </w:r>
      <w:r>
        <w:t xml:space="preserve">(Fautin et al. 2010; Muller-Karger et al. 2018)</w:t>
      </w:r>
      <w:r>
        <w:t xml:space="preserve">. We need biodiversity indicators to track progress. This push for conservation is driven by increasing impacts of</w:t>
      </w:r>
      <w:r>
        <w:t xml:space="preserve"> </w:t>
      </w:r>
      <w:r>
        <w:rPr>
          <w:bCs/>
          <w:b/>
        </w:rPr>
        <w:t xml:space="preserve">climate change</w:t>
      </w:r>
      <w:r>
        <w:t xml:space="preserve">, as evidenced by marine heatwaves and shifts in population distributions.</w:t>
      </w:r>
    </w:p>
    <w:bookmarkEnd w:id="31"/>
    <w:bookmarkStart w:id="36" w:name="process"/>
    <w:p>
      <w:pPr>
        <w:pStyle w:val="Heading2"/>
      </w:pPr>
      <w:r>
        <w:t xml:space="preserve">1.4 Process</w:t>
      </w:r>
    </w:p>
    <w:tbl>
      <w:tblPr>
        <w:tblStyle w:val="Table"/>
        <w:tblW w:type="pct" w:w="5000"/>
        <w:tblLook w:firstRow="0" w:lastRow="0" w:firstColumn="0" w:lastColumn="0" w:noHBand="0" w:noVBand="0" w:val="0000"/>
        <w:jc w:val="start"/>
        <w:tblLayout w:type="fixed"/>
      </w:tblPr>
      <w:tblGrid>
        <w:gridCol w:w="7920"/>
      </w:tblGrid>
      <w:tr>
        <w:tc>
          <w:tcPr/>
          <w:bookmarkStart w:id="35" w:name="fig-process"/>
          <w:p>
            <w:pPr>
              <w:jc w:val="center"/>
            </w:pPr>
            <w:r>
              <w:drawing>
                <wp:inline>
                  <wp:extent cx="5334000" cy="1490075"/>
                  <wp:effectExtent b="0" l="0" r="0" t="0"/>
                  <wp:docPr descr="" title="" id="33" name="Picture"/>
                  <a:graphic>
                    <a:graphicData uri="http://schemas.openxmlformats.org/drawingml/2006/picture">
                      <pic:pic>
                        <pic:nvPicPr>
                          <pic:cNvPr descr="index_files/figure-docx/mermaid-figure-2.png" id="34" name="Picture"/>
                          <pic:cNvPicPr>
                            <a:picLocks noChangeArrowheads="1" noChangeAspect="1"/>
                          </pic:cNvPicPr>
                        </pic:nvPicPr>
                        <pic:blipFill>
                          <a:blip r:embed="rId32"/>
                          <a:stretch>
                            <a:fillRect/>
                          </a:stretch>
                        </pic:blipFill>
                        <pic:spPr bwMode="auto">
                          <a:xfrm>
                            <a:off x="0" y="0"/>
                            <a:ext cx="5334000" cy="14900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Diagram of SDM data preparation and model fitting.</w:t>
            </w:r>
          </w:p>
          <w:bookmarkEnd w:id="35"/>
        </w:tc>
      </w:tr>
    </w:tbl>
    <w:bookmarkEnd w:id="36"/>
    <w:bookmarkStart w:id="44" w:name="contribute"/>
    <w:p>
      <w:pPr>
        <w:pStyle w:val="Heading2"/>
      </w:pPr>
      <w:r>
        <w:t xml:space="preserve">1.5 Contribute</w:t>
      </w:r>
    </w:p>
    <w:p>
      <w:pPr>
        <w:pStyle w:val="FirstParagraph"/>
      </w:pPr>
      <w:r>
        <w:t xml:space="preserve">We very much welcome your feedback, contributions and collaboration. As soon as you contribute, we will add you to to the authors list. Here are a few ways to contribute from least to most involved:</w:t>
      </w:r>
    </w:p>
    <w:p>
      <w:pPr>
        <w:numPr>
          <w:ilvl w:val="0"/>
          <w:numId w:val="1004"/>
        </w:numPr>
      </w:pPr>
      <w:r>
        <w:t xml:space="preserve">Email Ben (ben@ecoquants.com) with any suggestions, including suggested revisions of this online book.</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numPr>
                <w:ilvl w:val="0"/>
                <w:numId w:val="1000"/>
              </w:numPr>
            </w:pPr>
            <w:pPr>
              <w:spacing w:before="0" w:after="0"/>
              <w:textAlignment w:val="center"/>
            </w:pPr>
            <w:r>
              <w:drawing>
                <wp:inline>
                  <wp:extent cx="152400" cy="152400"/>
                  <wp:effectExtent b="0" l="0" r="0" t="0"/>
                  <wp:docPr descr="" title="" id="38" name="Picture"/>
                  <a:graphic>
                    <a:graphicData uri="http://schemas.openxmlformats.org/drawingml/2006/picture">
                      <pic:pic>
                        <pic:nvPicPr>
                          <pic:cNvPr descr="/Applications/quarto/share/formats/docx/note.png" id="39" name="Picture"/>
                          <pic:cNvPicPr>
                            <a:picLocks noChangeArrowheads="1" noChangeAspect="1"/>
                          </pic:cNvPicPr>
                        </pic:nvPicPr>
                        <pic:blipFill>
                          <a:blip r:embed="rId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numPr>
                <w:ilvl w:val="0"/>
                <w:numId w:val="1000"/>
              </w:numPr>
            </w:pPr>
            <w:pPr>
              <w:spacing w:before="16"/>
            </w:pPr>
            <w:r>
              <w:t xml:space="preserve">Note that you can download this entire book as:</w:t>
            </w:r>
          </w:p>
          <w:p>
            <w:pPr>
              <w:numPr>
                <w:ilvl w:val="1"/>
                <w:numId w:val="1005"/>
              </w:numPr>
            </w:pPr>
            <w:r>
              <w:t xml:space="preserve"> </w:t>
            </w:r>
            <w:r>
              <w:t xml:space="preserve">Adobe Acrobat</w:t>
            </w:r>
            <w:r>
              <w:t xml:space="preserve"> </w:t>
            </w:r>
            <w:hyperlink r:id="rId40">
              <w:r>
                <w:rPr>
                  <w:rStyle w:val="Hyperlink"/>
                </w:rPr>
                <w:t xml:space="preserve">pdf</w:t>
              </w:r>
            </w:hyperlink>
            <w:r>
              <w:t xml:space="preserve"> </w:t>
            </w:r>
            <w:r>
              <w:t xml:space="preserve">to add annotations; or</w:t>
            </w:r>
          </w:p>
          <w:p>
            <w:pPr>
              <w:numPr>
                <w:ilvl w:val="1"/>
                <w:numId w:val="1005"/>
              </w:numPr>
            </w:pPr>
            <w:r>
              <w:t xml:space="preserve"> </w:t>
            </w:r>
            <w:r>
              <w:t xml:space="preserve">Microsoft Word</w:t>
            </w:r>
            <w:r>
              <w:t xml:space="preserve"> </w:t>
            </w:r>
            <w:hyperlink r:id="rId41">
              <w:r>
                <w:rPr>
                  <w:rStyle w:val="Hyperlink"/>
                </w:rPr>
                <w:t xml:space="preserve">docx</w:t>
              </w:r>
            </w:hyperlink>
            <w:r>
              <w:t xml:space="preserve"> </w:t>
            </w:r>
            <w:r>
              <w:t xml:space="preserve">to edit with Track Changes on.</w:t>
            </w:r>
          </w:p>
          <w:p>
            <w:pPr>
              <w:numPr>
                <w:ilvl w:val="0"/>
                <w:numId w:val="1000"/>
              </w:numPr>
            </w:pPr>
            <w:pPr>
              <w:spacing w:after="16"/>
            </w:pPr>
            <w:r>
              <w:t xml:space="preserve">These are available in the upper left navigation menu by clicking the download icon</w:t>
            </w:r>
            <w:r>
              <w:t xml:space="preserve"> </w:t>
            </w:r>
            <w:r>
              <w:t xml:space="preserve">.</w:t>
            </w:r>
          </w:p>
        </w:tc>
      </w:tr>
    </w:tbl>
    <w:p>
      <w:pPr>
        <w:numPr>
          <w:ilvl w:val="0"/>
          <w:numId w:val="1004"/>
        </w:numPr>
      </w:pPr>
      <w:r>
        <w:t xml:space="preserve">Submit a</w:t>
      </w:r>
      <w:r>
        <w:t xml:space="preserve"> </w:t>
      </w:r>
      <w:hyperlink r:id="rId42">
        <w:r>
          <w:rPr>
            <w:rStyle w:val="Hyperlink"/>
          </w:rPr>
          <w:t xml:space="preserve">New Issue</w:t>
        </w:r>
      </w:hyperlink>
      <w:r>
        <w:t xml:space="preserve"> </w:t>
      </w:r>
      <w:r>
        <w:t xml:space="preserve">on Github.</w:t>
      </w:r>
    </w:p>
    <w:p>
      <w:pPr>
        <w:numPr>
          <w:ilvl w:val="0"/>
          <w:numId w:val="1004"/>
        </w:numPr>
      </w:pPr>
      <w:r>
        <w:t xml:space="preserve">Click on</w:t>
      </w:r>
      <w:r>
        <w:t xml:space="preserve"> </w:t>
      </w:r>
      <w:r>
        <w:t xml:space="preserve">“</w:t>
      </w:r>
      <w:r>
        <w:t xml:space="preserve"> </w:t>
      </w:r>
      <w:r>
        <w:t xml:space="preserve">Edit this Page</w:t>
      </w:r>
      <w:r>
        <w:t xml:space="preserve">”</w:t>
      </w:r>
      <w:r>
        <w:t xml:space="preserve"> </w:t>
      </w:r>
      <w:r>
        <w:t xml:space="preserve">in the upper right. If you have a Github account, then you can fork this repository from owner</w:t>
      </w:r>
      <w:r>
        <w:t xml:space="preserve"> </w:t>
      </w:r>
      <w:r>
        <w:t xml:space="preserve">“</w:t>
      </w:r>
      <w:r>
        <w:t xml:space="preserve">marinebon</w:t>
      </w:r>
      <w:r>
        <w:t xml:space="preserve">”</w:t>
      </w:r>
      <w:r>
        <w:t xml:space="preserve"> </w:t>
      </w:r>
      <w:r>
        <w:t xml:space="preserve">to your username, edit the page(s) and submit a pull request. See</w:t>
      </w:r>
      <w:r>
        <w:t xml:space="preserve"> </w:t>
      </w:r>
      <w:hyperlink r:id="rId43">
        <w:r>
          <w:rPr>
            <w:rStyle w:val="Hyperlink"/>
          </w:rPr>
          <w:t xml:space="preserve">Hello World - GitHub Docs</w:t>
        </w:r>
      </w:hyperlink>
      <w:r>
        <w:t xml:space="preserve">.</w:t>
      </w:r>
    </w:p>
    <w:p>
      <w:pPr>
        <w:numPr>
          <w:ilvl w:val="0"/>
          <w:numId w:val="1004"/>
        </w:numPr>
      </w:pPr>
      <w:r>
        <w:t xml:space="preserve">If you are a regular contributor, you can be added to the collaborators of this repository to push changes directly (without needing a pull request).</w:t>
      </w:r>
    </w:p>
    <w:bookmarkEnd w:id="44"/>
    <w:bookmarkStart w:id="45" w:name="features"/>
    <w:p>
      <w:pPr>
        <w:pStyle w:val="Heading2"/>
      </w:pPr>
      <w:r>
        <w:t xml:space="preserve">1.6 Features</w:t>
      </w:r>
    </w:p>
    <w:p>
      <w:pPr>
        <w:pStyle w:val="FirstParagraph"/>
      </w:pPr>
      <w:r>
        <w:t xml:space="preserve">This Quarto book has a few cool features:</w:t>
      </w:r>
    </w:p>
    <w:p>
      <w:pPr>
        <w:numPr>
          <w:ilvl w:val="0"/>
          <w:numId w:val="1006"/>
        </w:numPr>
      </w:pPr>
      <w:r>
        <w:t xml:space="preserve">Multiple formats</w:t>
      </w:r>
      <w:r>
        <w:br/>
      </w:r>
      <w:r>
        <w:t xml:space="preserve">From the singe set of source Quarto documents (*.qmd), several output formats are rendered: html, pdf, docx. This is particularly helpful when suggesting changes. It also lends itself well to being carved into manuscripts.</w:t>
      </w:r>
    </w:p>
    <w:p>
      <w:pPr>
        <w:numPr>
          <w:ilvl w:val="0"/>
          <w:numId w:val="1006"/>
        </w:numPr>
      </w:pPr>
      <w:r>
        <w:t xml:space="preserve">Self-rendering</w:t>
      </w:r>
      <w:r>
        <w:br/>
      </w:r>
      <w:r>
        <w:t xml:space="preserve">Github hosts the web pages (*.html), which get rendered from the source code (*.qmd) using a Github Action. So edits can be made simply through the web interface and all outputs get updated (html, pdf, docx). It also ensures the reproducibility of the document with a common setup environment.</w:t>
      </w:r>
    </w:p>
    <w:p>
      <w:pPr>
        <w:numPr>
          <w:ilvl w:val="0"/>
          <w:numId w:val="1006"/>
        </w:numPr>
      </w:pPr>
      <w:r>
        <w:t xml:space="preserve">Mermaid diagrams</w:t>
      </w:r>
      <w:r>
        <w:br/>
      </w:r>
      <w:r>
        <w:t xml:space="preserve">e.g.,</w:t>
      </w:r>
      <w:r>
        <w:t xml:space="preserve"> </w:t>
      </w:r>
      <w:hyperlink w:anchor="fig-process">
        <w:r>
          <w:rPr>
            <w:rStyle w:val="Hyperlink"/>
          </w:rPr>
          <w:t xml:space="preserve">Figure 1.1</w:t>
        </w:r>
      </w:hyperlink>
      <w:r>
        <w:t xml:space="preserve">,</w:t>
      </w:r>
      <w:r>
        <w:t xml:space="preserve"> </w:t>
      </w:r>
      <w:hyperlink w:anchor="fig-prep">
        <w:r>
          <w:rPr>
            <w:rStyle w:val="Hyperlink"/>
          </w:rPr>
          <w:t xml:space="preserve">Figure 3.1</w:t>
        </w:r>
      </w:hyperlink>
      <w:r>
        <w:t xml:space="preserve">,</w:t>
      </w:r>
      <w:r>
        <w:t xml:space="preserve"> </w:t>
      </w:r>
      <w:hyperlink w:anchor="fig-model">
        <w:r>
          <w:rPr>
            <w:rStyle w:val="Hyperlink"/>
          </w:rPr>
          <w:t xml:space="preserve">Figure 7.1</w:t>
        </w:r>
      </w:hyperlink>
    </w:p>
    <w:p>
      <w:pPr>
        <w:numPr>
          <w:ilvl w:val="0"/>
          <w:numId w:val="1006"/>
        </w:numPr>
      </w:pPr>
      <w:r>
        <w:t xml:space="preserve">Quarto document listings</w:t>
      </w:r>
    </w:p>
    <w:p>
      <w:pPr>
        <w:numPr>
          <w:ilvl w:val="0"/>
          <w:numId w:val="1006"/>
        </w:numPr>
      </w:pPr>
      <w:r>
        <w:t xml:space="preserve">References</w:t>
      </w:r>
    </w:p>
    <w:p>
      <w:pPr>
        <w:numPr>
          <w:ilvl w:val="0"/>
          <w:numId w:val="1006"/>
        </w:numPr>
      </w:pPr>
      <w:r>
        <w:t xml:space="preserve">Glossary</w:t>
      </w:r>
    </w:p>
    <w:p>
      <w:pPr>
        <w:numPr>
          <w:ilvl w:val="0"/>
          <w:numId w:val="1006"/>
        </w:numPr>
      </w:pPr>
      <w:r>
        <w:t xml:space="preserve">Search</w:t>
      </w:r>
    </w:p>
    <w:bookmarkEnd w:id="45"/>
    <w:bookmarkEnd w:id="46"/>
    <w:bookmarkStart w:id="47" w:name="prepare-1"/>
    <w:p>
      <w:pPr>
        <w:pStyle w:val="Heading1"/>
      </w:pPr>
      <w:r>
        <w:t xml:space="preserve">2. Prepare</w:t>
      </w:r>
    </w:p>
    <w:p>
      <w:pPr>
        <w:pStyle w:val="FirstParagraph"/>
      </w:pPr>
      <w:r>
        <w:t xml:space="preserve">Prepare observations and environmental data for modeling</w:t>
      </w:r>
    </w:p>
    <w:p>
      <w:pPr>
        <w:pStyle w:val="BodyText"/>
      </w:pPr>
      <w:r>
        <w:br/>
      </w:r>
    </w:p>
    <w:bookmarkEnd w:id="47"/>
    <w:bookmarkStart w:id="56" w:name="prepare-2"/>
    <w:p>
      <w:pPr>
        <w:pStyle w:val="Heading1"/>
      </w:pPr>
      <w:r>
        <w:t xml:space="preserve">3. Prepare</w:t>
      </w:r>
    </w:p>
    <w:tbl>
      <w:tblPr>
        <w:tblStyle w:val="Table"/>
        <w:tblW w:type="pct" w:w="5000"/>
        <w:tblLook w:firstRow="0" w:lastRow="0" w:firstColumn="0" w:lastColumn="0" w:noHBand="0" w:noVBand="0" w:val="0000"/>
        <w:jc w:val="start"/>
        <w:tblLayout w:type="fixed"/>
      </w:tblPr>
      <w:tblGrid>
        <w:gridCol w:w="7920"/>
      </w:tblGrid>
      <w:tr>
        <w:tc>
          <w:tcPr/>
          <w:bookmarkStart w:id="51" w:name="fig-prep"/>
          <w:p>
            <w:pPr>
              <w:jc w:val="center"/>
            </w:pPr>
            <w:r>
              <w:drawing>
                <wp:inline>
                  <wp:extent cx="5334000" cy="2252133"/>
                  <wp:effectExtent b="0" l="0" r="0" t="0"/>
                  <wp:docPr descr="" title="" id="49" name="Picture"/>
                  <a:graphic>
                    <a:graphicData uri="http://schemas.openxmlformats.org/drawingml/2006/picture">
                      <pic:pic>
                        <pic:nvPicPr>
                          <pic:cNvPr descr="prep_files/figure-docx/mermaid-figure-2.png" id="50" name="Picture"/>
                          <pic:cNvPicPr>
                            <a:picLocks noChangeArrowheads="1" noChangeAspect="1"/>
                          </pic:cNvPicPr>
                        </pic:nvPicPr>
                        <pic:blipFill>
                          <a:blip r:embed="rId48"/>
                          <a:stretch>
                            <a:fillRect/>
                          </a:stretch>
                        </pic:blipFill>
                        <pic:spPr bwMode="auto">
                          <a:xfrm>
                            <a:off x="0" y="0"/>
                            <a:ext cx="5334000" cy="22521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Diagram of SDM data preparation for model fitting.</w:t>
            </w:r>
          </w:p>
          <w:bookmarkEnd w:id="51"/>
        </w:tc>
      </w:tr>
    </w:tbl>
    <w:p>
      <w:pPr>
        <w:numPr>
          <w:ilvl w:val="0"/>
          <w:numId w:val="1007"/>
        </w:numPr>
        <w:pStyle w:val="Compact"/>
      </w:pPr>
      <w:r>
        <w:rPr>
          <w:bCs/>
          <w:b/>
        </w:rPr>
        <w:t xml:space="preserve">obs</w:t>
      </w:r>
      <w:r>
        <w:br/>
      </w:r>
      <w:r>
        <w:t xml:space="preserve">observations: occurrences from OBIS; masked by FAO regions defined by AquaMaps</w:t>
      </w:r>
      <w:r>
        <w:t xml:space="preserve"> </w:t>
      </w:r>
      <w:r>
        <w:t xml:space="preserve">(Skyttner 2020)</w:t>
      </w:r>
    </w:p>
    <w:p>
      <w:pPr>
        <w:numPr>
          <w:ilvl w:val="1"/>
          <w:numId w:val="1008"/>
        </w:numPr>
        <w:pStyle w:val="Compact"/>
      </w:pPr>
      <w:r>
        <w:rPr>
          <w:bCs/>
          <w:b/>
        </w:rPr>
        <w:t xml:space="preserve">presence</w:t>
      </w:r>
      <w:r>
        <w:br/>
      </w:r>
      <w:r>
        <w:t xml:space="preserve">OBIS: species occurrence</w:t>
      </w:r>
    </w:p>
    <w:p>
      <w:pPr>
        <w:numPr>
          <w:ilvl w:val="1"/>
          <w:numId w:val="1008"/>
        </w:numPr>
        <w:pStyle w:val="Compact"/>
      </w:pPr>
      <w:r>
        <w:rPr>
          <w:bCs/>
          <w:b/>
        </w:rPr>
        <w:t xml:space="preserve">absence</w:t>
      </w:r>
      <w:r>
        <w:br/>
      </w:r>
      <w:r>
        <w:t xml:space="preserve">OBIS not-species, but same family</w:t>
      </w:r>
    </w:p>
    <w:p>
      <w:pPr>
        <w:numPr>
          <w:ilvl w:val="0"/>
          <w:numId w:val="1007"/>
        </w:numPr>
        <w:pStyle w:val="Compact"/>
      </w:pPr>
      <w:r>
        <w:rPr>
          <w:bCs/>
          <w:b/>
        </w:rPr>
        <w:t xml:space="preserve">env</w:t>
      </w:r>
      <w:r>
        <w:br/>
      </w:r>
      <w:r>
        <w:t xml:space="preserve">environment</w:t>
      </w:r>
    </w:p>
    <w:p>
      <w:pPr>
        <w:numPr>
          <w:ilvl w:val="0"/>
          <w:numId w:val="1007"/>
        </w:numPr>
        <w:pStyle w:val="Compact"/>
      </w:pPr>
      <w:r>
        <w:rPr>
          <w:bCs/>
          <w:b/>
        </w:rPr>
        <w:t xml:space="preserve">tbl</w:t>
      </w:r>
      <w:r>
        <w:br/>
      </w:r>
      <w:r>
        <w:t xml:space="preserve">table of observations (presence and absence) with environmental values</w:t>
      </w:r>
    </w:p>
    <w:bookmarkStart w:id="55" w:name="environmental-predictors"/>
    <w:p>
      <w:pPr>
        <w:pStyle w:val="Heading2"/>
      </w:pPr>
      <w:r>
        <w:t xml:space="preserve">3.1 Environmental Predictors</w:t>
      </w:r>
    </w:p>
    <w:bookmarkStart w:id="52" w:name="physiographic"/>
    <w:p>
      <w:pPr>
        <w:pStyle w:val="Heading3"/>
      </w:pPr>
      <w:r>
        <w:t xml:space="preserve">3.1.1 Physiographic</w:t>
      </w:r>
    </w:p>
    <w:p>
      <w:pPr>
        <w:numPr>
          <w:ilvl w:val="0"/>
          <w:numId w:val="1009"/>
        </w:numPr>
      </w:pPr>
      <w:r>
        <w:rPr>
          <w:rStyle w:val="VerbatimChar"/>
        </w:rPr>
        <w:t xml:space="preserve">depth</w:t>
      </w:r>
      <w:r>
        <w:br/>
      </w:r>
      <w:r>
        <w:t xml:space="preserve">Bathymetric Depth</w:t>
      </w:r>
    </w:p>
    <w:p>
      <w:pPr>
        <w:numPr>
          <w:ilvl w:val="0"/>
          <w:numId w:val="1009"/>
        </w:numPr>
      </w:pPr>
      <w:r>
        <w:rPr>
          <w:rStyle w:val="VerbatimChar"/>
        </w:rPr>
        <w:t xml:space="preserve">d2coast</w:t>
      </w:r>
      <w:r>
        <w:br/>
      </w:r>
      <w:r>
        <w:t xml:space="preserve">Distance to Coast</w:t>
      </w:r>
    </w:p>
    <w:p>
      <w:pPr>
        <w:numPr>
          <w:ilvl w:val="0"/>
          <w:numId w:val="1009"/>
        </w:numPr>
      </w:pPr>
      <w:r>
        <w:rPr>
          <w:rStyle w:val="VerbatimChar"/>
        </w:rPr>
        <w:t xml:space="preserve">d2shelf</w:t>
      </w:r>
      <w:r>
        <w:br/>
      </w:r>
      <w:r>
        <w:t xml:space="preserve">Distance to Shelf</w:t>
      </w:r>
    </w:p>
    <w:bookmarkEnd w:id="52"/>
    <w:bookmarkStart w:id="53" w:name="time-varying"/>
    <w:p>
      <w:pPr>
        <w:pStyle w:val="Heading3"/>
      </w:pPr>
      <w:r>
        <w:t xml:space="preserve">3.1.2 Time Varying</w:t>
      </w:r>
    </w:p>
    <w:p>
      <w:pPr>
        <w:numPr>
          <w:ilvl w:val="0"/>
          <w:numId w:val="1010"/>
        </w:numPr>
        <w:pStyle w:val="Compact"/>
      </w:pPr>
      <w:r>
        <w:rPr>
          <w:rStyle w:val="VerbatimChar"/>
        </w:rPr>
        <w:t xml:space="preserve">vgpm</w:t>
      </w:r>
      <w:r>
        <w:br/>
      </w:r>
      <w:r>
        <w:t xml:space="preserve">Vertically integrated primary Productivity model</w:t>
      </w:r>
    </w:p>
    <w:bookmarkEnd w:id="53"/>
    <w:bookmarkStart w:id="54" w:name="depth-time-varying"/>
    <w:p>
      <w:pPr>
        <w:pStyle w:val="Heading3"/>
      </w:pPr>
      <w:r>
        <w:t xml:space="preserve">3.1.3 Depth &amp; Time Varying</w:t>
      </w:r>
    </w:p>
    <w:p>
      <w:pPr>
        <w:numPr>
          <w:ilvl w:val="0"/>
          <w:numId w:val="1011"/>
        </w:numPr>
      </w:pPr>
      <w:r>
        <w:rPr>
          <w:rStyle w:val="VerbatimChar"/>
        </w:rPr>
        <w:t xml:space="preserve">temp</w:t>
      </w:r>
      <w:r>
        <w:br/>
      </w:r>
      <w:r>
        <w:t xml:space="preserve">Temperature, either sea-surface temperature (SST) or some modeled product from HyCOM, ROMS or Copernicus</w:t>
      </w:r>
    </w:p>
    <w:p>
      <w:pPr>
        <w:numPr>
          <w:ilvl w:val="0"/>
          <w:numId w:val="1011"/>
        </w:numPr>
      </w:pPr>
      <w:r>
        <w:rPr>
          <w:rStyle w:val="VerbatimChar"/>
        </w:rPr>
        <w:t xml:space="preserve">salin</w:t>
      </w:r>
      <w:r>
        <w:br/>
      </w:r>
      <w:r>
        <w:t xml:space="preserve">Salinity</w:t>
      </w:r>
    </w:p>
    <w:bookmarkEnd w:id="54"/>
    <w:bookmarkEnd w:id="55"/>
    <w:bookmarkEnd w:id="56"/>
    <w:bookmarkStart w:id="64" w:name="occurrences"/>
    <w:p>
      <w:pPr>
        <w:pStyle w:val="Heading1"/>
      </w:pPr>
      <w:r>
        <w:t xml:space="preserve">4. Occurrences</w:t>
      </w:r>
    </w:p>
    <w:p>
      <w:pPr>
        <w:pStyle w:val="FirstParagraph"/>
      </w:pPr>
      <w:r>
        <w:t xml:space="preserve">Fetch presence observations and filter for quality control</w:t>
      </w:r>
    </w:p>
    <w:p>
      <w:pPr>
        <w:pStyle w:val="BodyText"/>
      </w:pPr>
      <w:r>
        <w:br/>
      </w:r>
    </w:p>
    <w:p>
      <w:pPr>
        <w:pStyle w:val="BodyText"/>
      </w:pPr>
      <w:r>
        <w:t xml:space="preserve">To describe:</w:t>
      </w:r>
    </w:p>
    <w:p>
      <w:pPr>
        <w:numPr>
          <w:ilvl w:val="0"/>
          <w:numId w:val="1012"/>
        </w:numPr>
      </w:pPr>
      <w:r>
        <w:rPr>
          <w:rStyle w:val="VerbatimChar"/>
        </w:rPr>
        <w:t xml:space="preserve">robis</w:t>
      </w:r>
    </w:p>
    <w:p>
      <w:pPr>
        <w:numPr>
          <w:ilvl w:val="0"/>
          <w:numId w:val="1012"/>
        </w:numPr>
      </w:pPr>
      <w:r>
        <w:t xml:space="preserve">Filter based on quality flags</w:t>
      </w:r>
    </w:p>
    <w:p>
      <w:pPr>
        <w:numPr>
          <w:ilvl w:val="0"/>
          <w:numId w:val="1012"/>
        </w:numPr>
      </w:pPr>
      <w:r>
        <w:t xml:space="preserve">Remove outliers</w:t>
      </w:r>
    </w:p>
    <w:p>
      <w:pPr>
        <w:numPr>
          <w:ilvl w:val="1"/>
          <w:numId w:val="1013"/>
        </w:numPr>
      </w:pPr>
      <w:hyperlink r:id="rId57">
        <w:r>
          <w:rPr>
            <w:rStyle w:val="VerbatimChar"/>
          </w:rPr>
          <w:t xml:space="preserve">eks</w:t>
        </w:r>
      </w:hyperlink>
      <w:r>
        <w:br/>
      </w:r>
      <w:r>
        <w:rPr>
          <w:iCs/>
          <w:i/>
        </w:rPr>
        <w:t xml:space="preserve">Tidy and Geospatial Kernel Smoothing for spatially filtering outlier observations</w:t>
      </w:r>
    </w:p>
    <w:tbl>
      <w:tblPr>
        <w:tblStyle w:val="Table"/>
        <w:tblW w:type="pct" w:w="5000"/>
        <w:tblLook w:firstRow="0" w:lastRow="0" w:firstColumn="0" w:lastColumn="0" w:noHBand="0" w:noVBand="0" w:val="0000"/>
        <w:jc w:val="start"/>
        <w:tblInd w:w="1440" w:type="dxa"/>
        <w:tblLayout w:type="fixed"/>
      </w:tblPr>
      <w:tblGrid>
        <w:gridCol w:w="7920"/>
      </w:tblGrid>
      <w:tr>
        <w:tc>
          <w:tcPr/>
          <w:bookmarkStart w:id="61" w:name="fig-eks"/>
          <w:p>
            <w:pPr>
              <w:pStyle w:val="Compact"/>
              <w:jc w:val="center"/>
            </w:pPr>
            <w:r>
              <w:drawing>
                <wp:inline>
                  <wp:extent cx="4620126" cy="4620126"/>
                  <wp:effectExtent b="0" l="0" r="0" t="0"/>
                  <wp:docPr descr="" title="" id="59" name="Picture"/>
                  <a:graphic>
                    <a:graphicData uri="http://schemas.openxmlformats.org/drawingml/2006/picture">
                      <pic:pic>
                        <pic:nvPicPr>
                          <pic:cNvPr descr="figures/software/eks.png" id="60" name="Picture"/>
                          <pic:cNvPicPr>
                            <a:picLocks noChangeArrowheads="1" noChangeAspect="1"/>
                          </pic:cNvPicPr>
                        </pic:nvPicPr>
                        <pic:blipFill>
                          <a:blip r:embed="rId58"/>
                          <a:stretch>
                            <a:fillRect/>
                          </a:stretch>
                        </pic:blipFill>
                        <pic:spPr bwMode="auto">
                          <a:xfrm>
                            <a:off x="0" y="0"/>
                            <a:ext cx="4620126" cy="46201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Source: Kernel density estimates for tidy and geospatial data in the eks package</w:t>
            </w:r>
          </w:p>
          <w:bookmarkEnd w:id="61"/>
        </w:tc>
      </w:tr>
    </w:tbl>
    <w:bookmarkStart w:id="62" w:name="fetch-obis"/>
    <w:p>
      <w:pPr>
        <w:pStyle w:val="Heading2"/>
      </w:pPr>
      <w:r>
        <w:t xml:space="preserve">4.1 Fetch OBIS</w:t>
      </w:r>
    </w:p>
    <w:bookmarkEnd w:id="62"/>
    <w:bookmarkStart w:id="63" w:name="filter-occurrences"/>
    <w:p>
      <w:pPr>
        <w:pStyle w:val="Heading2"/>
      </w:pPr>
      <w:r>
        <w:t xml:space="preserve">4.2 Filter occurrences</w:t>
      </w:r>
    </w:p>
    <w:bookmarkEnd w:id="63"/>
    <w:bookmarkEnd w:id="64"/>
    <w:bookmarkStart w:id="69" w:name="pseudo-absences"/>
    <w:p>
      <w:pPr>
        <w:pStyle w:val="Heading1"/>
      </w:pPr>
      <w:r>
        <w:t xml:space="preserve">5. Pseudo-absences</w:t>
      </w:r>
    </w:p>
    <w:p>
      <w:pPr>
        <w:pStyle w:val="FirstParagraph"/>
      </w:pPr>
      <w:r>
        <w:t xml:space="preserve">Generate pseudo-absence or background environmental values to compare</w:t>
      </w:r>
      <w:r>
        <w:t xml:space="preserve"> </w:t>
      </w:r>
      <w:r>
        <w:t xml:space="preserve">with occurrence environment</w:t>
      </w:r>
    </w:p>
    <w:p>
      <w:pPr>
        <w:pStyle w:val="BodyText"/>
      </w:pPr>
      <w:r>
        <w:br/>
      </w:r>
    </w:p>
    <w:p>
      <w:pPr>
        <w:pStyle w:val="BodyText"/>
      </w:pPr>
      <w:r>
        <w:t xml:space="preserve">Describe various strategies for generating pseudo-absences.</w:t>
      </w:r>
    </w:p>
    <w:p>
      <w:pPr>
        <w:numPr>
          <w:ilvl w:val="0"/>
          <w:numId w:val="1014"/>
        </w:numPr>
        <w:pStyle w:val="Compact"/>
      </w:pPr>
      <w:hyperlink r:id="rId65">
        <w:r>
          <w:rPr>
            <w:rStyle w:val="Hyperlink"/>
          </w:rPr>
          <w:t xml:space="preserve">Pseudo-absences • biomod2</w:t>
        </w:r>
      </w:hyperlink>
    </w:p>
    <w:p>
      <w:pPr>
        <w:numPr>
          <w:ilvl w:val="1"/>
          <w:numId w:val="1015"/>
        </w:numPr>
        <w:pStyle w:val="Compact"/>
      </w:pPr>
      <w:r>
        <w:t xml:space="preserve">(Barbet-Massin et al. 2012)</w:t>
      </w:r>
    </w:p>
    <w:bookmarkStart w:id="66" w:name="all-background"/>
    <w:p>
      <w:pPr>
        <w:pStyle w:val="Heading2"/>
      </w:pPr>
      <w:r>
        <w:t xml:space="preserve">5.1 All background</w:t>
      </w:r>
    </w:p>
    <w:p>
      <w:pPr>
        <w:pStyle w:val="FirstParagraph"/>
      </w:pPr>
      <w:r>
        <w:t xml:space="preserve">A common Maxent strategy is to feed all background points into Maxent, and then to use the resulting distribution as a null model. This is the default strategy in Maxent</w:t>
      </w:r>
      <w:r>
        <w:t xml:space="preserve"> </w:t>
      </w:r>
      <w:r>
        <w:t xml:space="preserve">(Phillips et al. 2017; Phillips, Anderson, and Schapire 2006; Phillips and Dudík 2008)</w:t>
      </w:r>
      <w:r>
        <w:t xml:space="preserve">.</w:t>
      </w:r>
    </w:p>
    <w:bookmarkEnd w:id="66"/>
    <w:bookmarkStart w:id="67" w:name="mask-by-fao-areas"/>
    <w:p>
      <w:pPr>
        <w:pStyle w:val="Heading2"/>
      </w:pPr>
      <w:r>
        <w:t xml:space="preserve">5.2 Mask by FAO areas</w:t>
      </w:r>
    </w:p>
    <w:p>
      <w:pPr>
        <w:pStyle w:val="FirstParagraph"/>
      </w:pPr>
      <w:r>
        <w:t xml:space="preserve">The FAO areas applicable to species are included in the</w:t>
      </w:r>
      <w:r>
        <w:t xml:space="preserve"> </w:t>
      </w:r>
      <w:r>
        <w:rPr>
          <w:rStyle w:val="VerbatimChar"/>
        </w:rPr>
        <w:t xml:space="preserve">aquamapsdata</w:t>
      </w:r>
      <w:r>
        <w:t xml:space="preserve">, presumably from evaluating OBIS observations and the literature.</w:t>
      </w:r>
    </w:p>
    <w:bookmarkEnd w:id="67"/>
    <w:bookmarkStart w:id="68" w:name="Xe7fe94e4525754c97b57fa30400d01118cf3ef9"/>
    <w:p>
      <w:pPr>
        <w:pStyle w:val="Heading2"/>
      </w:pPr>
      <w:r>
        <w:t xml:space="preserve">5.3 Use occurrences from same Family, different species</w:t>
      </w:r>
    </w:p>
    <w:p>
      <w:pPr>
        <w:pStyle w:val="FirstParagraph"/>
      </w:pPr>
      <w:r>
        <w:t xml:space="preserve">By using the same family, we can be sure that the pseudo-absences are ecologically similar to the species of interest.</w:t>
      </w:r>
    </w:p>
    <w:bookmarkEnd w:id="68"/>
    <w:bookmarkEnd w:id="69"/>
    <w:bookmarkStart w:id="74" w:name="environment"/>
    <w:p>
      <w:pPr>
        <w:pStyle w:val="Heading1"/>
      </w:pPr>
      <w:r>
        <w:t xml:space="preserve">6. Environment</w:t>
      </w:r>
    </w:p>
    <w:p>
      <w:pPr>
        <w:pStyle w:val="FirstParagraph"/>
      </w:pPr>
      <w:r>
        <w:t xml:space="preserve">Extract environmental predictors (static and/or dynamic) from various</w:t>
      </w:r>
      <w:r>
        <w:t xml:space="preserve"> </w:t>
      </w:r>
      <w:r>
        <w:t xml:space="preserve">sources for observations (presence and pseudo-absence)</w:t>
      </w:r>
    </w:p>
    <w:p>
      <w:pPr>
        <w:pStyle w:val="BodyText"/>
      </w:pPr>
      <w:r>
        <w:br/>
      </w:r>
    </w:p>
    <w:p>
      <w:pPr>
        <w:pStyle w:val="BodyText"/>
      </w:pPr>
      <w:r>
        <w:t xml:space="preserve">Environmental data are used to fit the model and predict distribution onto the seascape, e.g.</w:t>
      </w:r>
      <w:r>
        <w:t xml:space="preserve"> </w:t>
      </w:r>
      <w:hyperlink w:anchor="tbl-Roberts2016-env">
        <w:r>
          <w:rPr>
            <w:rStyle w:val="Hyperlink"/>
          </w:rPr>
          <w:t xml:space="preserve">Table 6.1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70" w:name="tbl-Roberts2016-env"/>
          <w:p>
            <w:pPr>
              <w:jc w:val="center"/>
            </w:pPr>
            <w:pPr>
              <w:jc w:val="start"/>
              <w:spacing w:before="200"/>
              <w:pStyle w:val="ImageCaption"/>
            </w:pPr>
            <w:r>
              <w:t xml:space="preserve">Table 6.1: Example of environmental predictors from Roberts et al.</w:t>
            </w:r>
            <w:r>
              <w:t xml:space="preserve"> </w:t>
            </w:r>
            <w:r>
              <w:t xml:space="preserve">(2016)</w:t>
            </w:r>
            <w:r>
              <w:t xml:space="preserve">.</w:t>
            </w:r>
          </w:p>
          <w:p>
            <w:pPr>
              <w:pStyle w:val="SourceCode"/>
              <w:jc w:val="center"/>
            </w:pPr>
            <w:r>
              <w:rPr>
                <w:rStyle w:val="NormalTok"/>
              </w:rPr>
              <w:t xml:space="preserve">librarian</w:t>
            </w:r>
            <w:r>
              <w:rPr>
                <w:rStyle w:val="SpecialCharTok"/>
              </w:rPr>
              <w:t xml:space="preserve">::</w:t>
            </w:r>
            <w:r>
              <w:rPr>
                <w:rStyle w:val="FunctionTok"/>
              </w:rPr>
              <w:t xml:space="preserve">shelf</w:t>
            </w:r>
            <w:r>
              <w:rPr>
                <w:rStyle w:val="NormalTok"/>
              </w:rPr>
              <w:t xml:space="preserve">(</w:t>
            </w:r>
            <w:r>
              <w:br/>
            </w:r>
            <w:r>
              <w:rPr>
                <w:rStyle w:val="NormalTok"/>
              </w:rPr>
              <w:t xml:space="preserve">  here, knitr, readr)</w:t>
            </w:r>
            <w:r>
              <w:br/>
            </w:r>
            <w:r>
              <w:rPr>
                <w:rStyle w:val="FunctionTok"/>
              </w:rPr>
              <w:t xml:space="preserve">library</w:t>
            </w:r>
            <w:r>
              <w:rPr>
                <w:rStyle w:val="NormalTok"/>
              </w:rPr>
              <w:t xml:space="preserve">(here)</w:t>
            </w:r>
            <w:r>
              <w:br/>
            </w:r>
            <w:r>
              <w:rPr>
                <w:rStyle w:val="FunctionTok"/>
              </w:rPr>
              <w:t xml:space="preserve">library</w:t>
            </w:r>
            <w:r>
              <w:rPr>
                <w:rStyle w:val="NormalTok"/>
              </w:rPr>
              <w:t xml:space="preserve">(knitr)</w:t>
            </w:r>
            <w:r>
              <w:br/>
            </w:r>
            <w:r>
              <w:rPr>
                <w:rStyle w:val="FunctionTok"/>
              </w:rPr>
              <w:t xml:space="preserve">library</w:t>
            </w:r>
            <w:r>
              <w:rPr>
                <w:rStyle w:val="NormalTok"/>
              </w:rPr>
              <w:t xml:space="preserve">(readr)</w:t>
            </w:r>
            <w:r>
              <w:br/>
            </w:r>
            <w:r>
              <w:br/>
            </w:r>
            <w:r>
              <w:rPr>
                <w:rStyle w:val="NormalTok"/>
              </w:rPr>
              <w:t xml:space="preserve">d </w:t>
            </w:r>
            <w:r>
              <w:rPr>
                <w:rStyle w:val="OtherTok"/>
              </w:rPr>
              <w:t xml:space="preserve">&lt;-</w:t>
            </w:r>
            <w:r>
              <w:rPr>
                <w:rStyle w:val="NormalTok"/>
              </w:rPr>
              <w:t xml:space="preserve"> </w:t>
            </w:r>
            <w:r>
              <w:rPr>
                <w:rStyle w:val="FunctionTok"/>
              </w:rPr>
              <w:t xml:space="preserve">read_csv</w:t>
            </w:r>
            <w:r>
              <w:rPr>
                <w:rStyle w:val="NormalTok"/>
              </w:rPr>
              <w:t xml:space="preserve">(</w:t>
            </w:r>
            <w:r>
              <w:br/>
            </w:r>
            <w:r>
              <w:rPr>
                <w:rStyle w:val="NormalTok"/>
              </w:rPr>
              <w:t xml:space="preserve">  </w:t>
            </w:r>
            <w:r>
              <w:rPr>
                <w:rStyle w:val="FunctionTok"/>
              </w:rPr>
              <w:t xml:space="preserve">here</w:t>
            </w:r>
            <w:r>
              <w:rPr>
                <w:rStyle w:val="NormalTok"/>
              </w:rPr>
              <w:t xml:space="preserve">(</w:t>
            </w:r>
            <w:r>
              <w:rPr>
                <w:rStyle w:val="StringTok"/>
              </w:rPr>
              <w:t xml:space="preserve">"data/Roberts-2016_env-predictors.csv"</w:t>
            </w:r>
            <w:r>
              <w:rPr>
                <w:rStyle w:val="NormalTok"/>
              </w:rPr>
              <w:t xml:space="preserve">),</w:t>
            </w:r>
            <w:r>
              <w:br/>
            </w:r>
            <w:r>
              <w:rPr>
                <w:rStyle w:val="NormalTok"/>
              </w:rPr>
              <w:t xml:space="preserve">  </w:t>
            </w:r>
            <w:r>
              <w:rPr>
                <w:rStyle w:val="AttributeTok"/>
              </w:rPr>
              <w:t xml:space="preserve">show_col_types =</w:t>
            </w:r>
            <w:r>
              <w:rPr>
                <w:rStyle w:val="NormalTok"/>
              </w:rPr>
              <w:t xml:space="preserve"> F)</w:t>
            </w:r>
            <w:r>
              <w:br/>
            </w:r>
            <w:r>
              <w:br/>
            </w:r>
            <w:r>
              <w:rPr>
                <w:rStyle w:val="FunctionTok"/>
              </w:rPr>
              <w:t xml:space="preserve">options</w:t>
            </w:r>
            <w:r>
              <w:rPr>
                <w:rStyle w:val="NormalTok"/>
              </w:rPr>
              <w:t xml:space="preserve">(</w:t>
            </w:r>
            <w:r>
              <w:rPr>
                <w:rStyle w:val="AttributeTok"/>
              </w:rPr>
              <w:t xml:space="preserve">knitr.kable.NA =</w:t>
            </w:r>
            <w:r>
              <w:rPr>
                <w:rStyle w:val="NormalTok"/>
              </w:rPr>
              <w:t xml:space="preserve"> </w:t>
            </w:r>
            <w:r>
              <w:rPr>
                <w:rStyle w:val="StringTok"/>
              </w:rPr>
              <w:t xml:space="preserve">''</w:t>
            </w:r>
            <w:r>
              <w:rPr>
                <w:rStyle w:val="NormalTok"/>
              </w:rPr>
              <w:t xml:space="preserve">)</w:t>
            </w:r>
            <w:r>
              <w:br/>
            </w:r>
            <w:r>
              <w:rPr>
                <w:rStyle w:val="FunctionTok"/>
              </w:rPr>
              <w:t xml:space="preserve">kable</w:t>
            </w:r>
            <w:r>
              <w:rPr>
                <w:rStyle w:val="NormalTok"/>
              </w:rPr>
              <w:t xml:space="preserve">(d, </w:t>
            </w:r>
            <w:r>
              <w:rPr>
                <w:rStyle w:val="AttributeTok"/>
              </w:rPr>
              <w:t xml:space="preserve">format=</w:t>
            </w:r>
            <w:r>
              <w:rPr>
                <w:rStyle w:val="StringTok"/>
              </w:rPr>
              <w:t xml:space="preserve">"pipe"</w:t>
            </w:r>
            <w:r>
              <w:rPr>
                <w:rStyle w:val="NormalTok"/>
              </w:rPr>
              <w:t xml:space="preserve">)</w:t>
            </w:r>
          </w:p>
          <w:tbl>
            <w:tblPr>
              <w:tblStyle w:val="Table"/>
              <w:tblW w:type="pct" w:w="5000"/>
              <w:tblLook w:firstRow="1" w:lastRow="0" w:firstColumn="0" w:lastColumn="0" w:noHBand="0" w:noVBand="0" w:val="0020"/>
              <w:jc w:val="start"/>
              <w:tblLayout w:type="fixed"/>
            </w:tblPr>
            <w:tblGrid>
              <w:gridCol w:w="1141"/>
              <w:gridCol w:w="326"/>
              <w:gridCol w:w="256"/>
              <w:gridCol w:w="6196"/>
            </w:tblGrid>
            <w:tr>
              <w:trPr>
                <w:tblHeader w:val="true"/>
              </w:trPr>
              <w:tc>
                <w:tcPr/>
                <w:p>
                  <w:pPr>
                    <w:pStyle w:val="Compact"/>
                    <w:jc w:val="left"/>
                    <w:jc w:val="center"/>
                  </w:pPr>
                  <w:r>
                    <w:rPr>
                      <w:bCs/>
                      <w:b/>
                    </w:rPr>
                    <w:t xml:space="preserve">Type</w:t>
                  </w:r>
                  <w:r>
                    <w:t xml:space="preserve"> </w:t>
                  </w:r>
                  <w:r>
                    <w:t xml:space="preserve">/</w:t>
                  </w:r>
                  <w:r>
                    <w:t xml:space="preserve">Covariates</w:t>
                  </w:r>
                </w:p>
              </w:tc>
              <w:tc>
                <w:tcPr/>
                <w:p>
                  <w:pPr>
                    <w:pStyle w:val="Compact"/>
                    <w:jc w:val="left"/>
                    <w:jc w:val="center"/>
                  </w:pPr>
                  <w:r>
                    <w:t xml:space="preserve">Resolution</w:t>
                  </w:r>
                </w:p>
              </w:tc>
              <w:tc>
                <w:tcPr/>
                <w:p>
                  <w:pPr>
                    <w:pStyle w:val="Compact"/>
                    <w:jc w:val="left"/>
                    <w:jc w:val="center"/>
                  </w:pPr>
                  <w:r>
                    <w:t xml:space="preserve">Time range</w:t>
                  </w:r>
                </w:p>
              </w:tc>
              <w:tc>
                <w:tcPr/>
                <w:p>
                  <w:pPr>
                    <w:pStyle w:val="Compact"/>
                    <w:jc w:val="left"/>
                    <w:jc w:val="center"/>
                  </w:pPr>
                  <w:r>
                    <w:t xml:space="preserve">Description</w:t>
                  </w:r>
                </w:p>
              </w:tc>
            </w:tr>
            <w:tr>
              <w:tc>
                <w:tcPr/>
                <w:p>
                  <w:pPr>
                    <w:pStyle w:val="Compact"/>
                    <w:jc w:val="left"/>
                    <w:jc w:val="center"/>
                  </w:pPr>
                  <w:r>
                    <w:rPr>
                      <w:bCs/>
                      <w:b/>
                    </w:rPr>
                    <w:t xml:space="preserve">Physiographic</w:t>
                  </w:r>
                </w:p>
              </w:tc>
              <w:tc>
                <w:tcPr/>
                <w:p>
                  <w:pPr>
                    <w:pStyle w:val="Compact"/>
                  </w:pPr>
                </w:p>
              </w:tc>
              <w:tc>
                <w:tcPr/>
                <w:p>
                  <w:pPr>
                    <w:pStyle w:val="Compact"/>
                  </w:pPr>
                </w:p>
              </w:tc>
              <w:tc>
                <w:tcPr/>
                <w:p>
                  <w:pPr>
                    <w:pStyle w:val="Compact"/>
                  </w:pPr>
                </w:p>
              </w:tc>
            </w:tr>
            <w:tr>
              <w:tc>
                <w:tcPr/>
                <w:p>
                  <w:pPr>
                    <w:pStyle w:val="Compact"/>
                    <w:jc w:val="left"/>
                    <w:jc w:val="center"/>
                  </w:pPr>
                  <w:r>
                    <w:t xml:space="preserve">Depth, Slope</w:t>
                  </w:r>
                </w:p>
              </w:tc>
              <w:tc>
                <w:tcPr/>
                <w:p>
                  <w:pPr>
                    <w:pStyle w:val="Compact"/>
                    <w:jc w:val="left"/>
                    <w:jc w:val="center"/>
                  </w:pPr>
                  <w:r>
                    <w:t xml:space="preserve">30 arc sec</w:t>
                  </w:r>
                </w:p>
              </w:tc>
              <w:tc>
                <w:tcPr/>
                <w:p>
                  <w:pPr>
                    <w:pStyle w:val="Compact"/>
                  </w:pPr>
                </w:p>
              </w:tc>
              <w:tc>
                <w:tcPr/>
                <w:p>
                  <w:pPr>
                    <w:pStyle w:val="Compact"/>
                    <w:jc w:val="left"/>
                    <w:jc w:val="center"/>
                  </w:pPr>
                  <w:r>
                    <w:t xml:space="preserve">Seafloor depth and slope, derived from SRTM30-PLUS global bathymetry20</w:t>
                  </w:r>
                </w:p>
              </w:tc>
            </w:tr>
            <w:tr>
              <w:tc>
                <w:tcPr/>
                <w:p>
                  <w:pPr>
                    <w:pStyle w:val="Compact"/>
                    <w:jc w:val="left"/>
                    <w:jc w:val="center"/>
                  </w:pPr>
                  <w:r>
                    <w:t xml:space="preserve">DistToShore, DistTo125m, DistTo300m, DistTo1500m</w:t>
                  </w:r>
                </w:p>
              </w:tc>
              <w:tc>
                <w:tcPr/>
                <w:p>
                  <w:pPr>
                    <w:pStyle w:val="Compact"/>
                    <w:jc w:val="left"/>
                    <w:jc w:val="center"/>
                  </w:pPr>
                  <w:r>
                    <w:t xml:space="preserve">30 arc sec</w:t>
                  </w:r>
                </w:p>
              </w:tc>
              <w:tc>
                <w:tcPr/>
                <w:p>
                  <w:pPr>
                    <w:pStyle w:val="Compact"/>
                  </w:pPr>
                </w:p>
              </w:tc>
              <w:tc>
                <w:tcPr/>
                <w:p>
                  <w:pPr>
                    <w:pStyle w:val="Compact"/>
                    <w:jc w:val="left"/>
                    <w:jc w:val="center"/>
                  </w:pPr>
                  <w:r>
                    <w:t xml:space="preserve">Distance to the closest shoreline, excluding Bermuda and Sable Island, and various ecologically-relevant isobaths20</w:t>
                  </w:r>
                </w:p>
              </w:tc>
            </w:tr>
            <w:tr>
              <w:tc>
                <w:tcPr/>
                <w:p>
                  <w:pPr>
                    <w:pStyle w:val="Compact"/>
                    <w:jc w:val="left"/>
                    <w:jc w:val="center"/>
                  </w:pPr>
                  <w:r>
                    <w:t xml:space="preserve">DistToCanyon, DistToCanyon OrSeamount</w:t>
                  </w:r>
                </w:p>
              </w:tc>
              <w:tc>
                <w:tcPr/>
                <w:p>
                  <w:pPr>
                    <w:pStyle w:val="Compact"/>
                    <w:jc w:val="left"/>
                    <w:jc w:val="center"/>
                  </w:pPr>
                  <w:r>
                    <w:t xml:space="preserve">30 arc sec</w:t>
                  </w:r>
                </w:p>
              </w:tc>
              <w:tc>
                <w:tcPr/>
                <w:p>
                  <w:pPr>
                    <w:pStyle w:val="Compact"/>
                  </w:pPr>
                </w:p>
              </w:tc>
              <w:tc>
                <w:tcPr/>
                <w:p>
                  <w:pPr>
                    <w:pStyle w:val="Compact"/>
                    <w:jc w:val="left"/>
                    <w:jc w:val="center"/>
                  </w:pPr>
                  <w:r>
                    <w:t xml:space="preserve">Distance to the closest submarine canyon, and to the closest canyon or seamount21</w:t>
                  </w:r>
                </w:p>
              </w:tc>
            </w:tr>
            <w:tr>
              <w:tc>
                <w:tcPr/>
                <w:p>
                  <w:pPr>
                    <w:pStyle w:val="Compact"/>
                    <w:jc w:val="left"/>
                    <w:jc w:val="center"/>
                  </w:pPr>
                  <w:r>
                    <w:rPr>
                      <w:bCs/>
                      <w:b/>
                    </w:rPr>
                    <w:t xml:space="preserve">SST &amp; Winds</w:t>
                  </w:r>
                </w:p>
              </w:tc>
              <w:tc>
                <w:tcPr/>
                <w:p>
                  <w:pPr>
                    <w:pStyle w:val="Compact"/>
                  </w:pPr>
                </w:p>
              </w:tc>
              <w:tc>
                <w:tcPr/>
                <w:p>
                  <w:pPr>
                    <w:pStyle w:val="Compact"/>
                  </w:pPr>
                </w:p>
              </w:tc>
              <w:tc>
                <w:tcPr/>
                <w:p>
                  <w:pPr>
                    <w:pStyle w:val="Compact"/>
                  </w:pPr>
                </w:p>
              </w:tc>
            </w:tr>
            <w:tr>
              <w:tc>
                <w:tcPr/>
                <w:p>
                  <w:pPr>
                    <w:pStyle w:val="Compact"/>
                    <w:jc w:val="left"/>
                    <w:jc w:val="center"/>
                  </w:pPr>
                  <w:r>
                    <w:t xml:space="preserve">SST, DistToFront</w:t>
                  </w:r>
                </w:p>
              </w:tc>
              <w:tc>
                <w:tcPr/>
                <w:p>
                  <w:pPr>
                    <w:pStyle w:val="Compact"/>
                    <w:jc w:val="left"/>
                    <w:jc w:val="center"/>
                  </w:pPr>
                  <w:r>
                    <w:t xml:space="preserve">0.2°, daily</w:t>
                  </w:r>
                </w:p>
              </w:tc>
              <w:tc>
                <w:tcPr/>
                <w:p>
                  <w:pPr>
                    <w:pStyle w:val="Compact"/>
                    <w:jc w:val="left"/>
                    <w:jc w:val="center"/>
                  </w:pPr>
                  <w:r>
                    <w:t xml:space="preserve">1991-2014</w:t>
                  </w:r>
                </w:p>
              </w:tc>
              <w:tc>
                <w:tcPr/>
                <w:p>
                  <w:pPr>
                    <w:pStyle w:val="Compact"/>
                    <w:jc w:val="left"/>
                    <w:jc w:val="center"/>
                  </w:pPr>
                  <w:r>
                    <w:t xml:space="preserve">Foundation sea surface temperature (SST), from GHRSST Level 4 CMC SST22, and distance to the closest SST front identified with the Canny edge detection algorithm23</w:t>
                  </w:r>
                </w:p>
              </w:tc>
            </w:tr>
            <w:tr>
              <w:tc>
                <w:tcPr/>
                <w:p>
                  <w:pPr>
                    <w:pStyle w:val="Compact"/>
                    <w:jc w:val="left"/>
                    <w:jc w:val="center"/>
                  </w:pPr>
                  <w:r>
                    <w:t xml:space="preserve">WindSpeed</w:t>
                  </w:r>
                </w:p>
              </w:tc>
              <w:tc>
                <w:tcPr/>
                <w:p>
                  <w:pPr>
                    <w:pStyle w:val="Compact"/>
                    <w:jc w:val="left"/>
                    <w:jc w:val="center"/>
                  </w:pPr>
                  <w:r>
                    <w:t xml:space="preserve">0.25°, daily</w:t>
                  </w:r>
                </w:p>
              </w:tc>
              <w:tc>
                <w:tcPr/>
                <w:p>
                  <w:pPr>
                    <w:pStyle w:val="Compact"/>
                    <w:jc w:val="left"/>
                    <w:jc w:val="center"/>
                  </w:pPr>
                  <w:r>
                    <w:t xml:space="preserve">1991-2014</w:t>
                  </w:r>
                </w:p>
              </w:tc>
              <w:tc>
                <w:tcPr/>
                <w:p>
                  <w:pPr>
                    <w:pStyle w:val="Compact"/>
                    <w:jc w:val="left"/>
                    <w:jc w:val="center"/>
                  </w:pPr>
                  <w:r>
                    <w:t xml:space="preserve">30-day running mean of NOAA NCDC 1/4° Blended Sea Winds24</w:t>
                  </w:r>
                </w:p>
              </w:tc>
            </w:tr>
            <w:tr>
              <w:tc>
                <w:tcPr/>
                <w:p>
                  <w:pPr>
                    <w:pStyle w:val="Compact"/>
                    <w:jc w:val="left"/>
                    <w:jc w:val="center"/>
                  </w:pPr>
                  <w:r>
                    <w:rPr>
                      <w:bCs/>
                      <w:b/>
                    </w:rPr>
                    <w:t xml:space="preserve">Currents</w:t>
                  </w:r>
                </w:p>
              </w:tc>
              <w:tc>
                <w:tcPr/>
                <w:p>
                  <w:pPr>
                    <w:pStyle w:val="Compact"/>
                  </w:pPr>
                </w:p>
              </w:tc>
              <w:tc>
                <w:tcPr/>
                <w:p>
                  <w:pPr>
                    <w:pStyle w:val="Compact"/>
                  </w:pPr>
                </w:p>
              </w:tc>
              <w:tc>
                <w:tcPr/>
                <w:p>
                  <w:pPr>
                    <w:pStyle w:val="Compact"/>
                  </w:pPr>
                </w:p>
              </w:tc>
            </w:tr>
            <w:tr>
              <w:tc>
                <w:tcPr/>
                <w:p>
                  <w:pPr>
                    <w:pStyle w:val="Compact"/>
                    <w:jc w:val="left"/>
                    <w:jc w:val="center"/>
                  </w:pPr>
                  <w:r>
                    <w:t xml:space="preserve">TKE, EKE</w:t>
                  </w:r>
                </w:p>
              </w:tc>
              <w:tc>
                <w:tcPr/>
                <w:p>
                  <w:pPr>
                    <w:pStyle w:val="Compact"/>
                    <w:jc w:val="left"/>
                    <w:jc w:val="center"/>
                  </w:pPr>
                  <w:r>
                    <w:t xml:space="preserve">0.25°, daily</w:t>
                  </w:r>
                </w:p>
              </w:tc>
              <w:tc>
                <w:tcPr/>
                <w:p>
                  <w:pPr>
                    <w:pStyle w:val="Compact"/>
                    <w:jc w:val="left"/>
                    <w:jc w:val="center"/>
                  </w:pPr>
                  <w:r>
                    <w:t xml:space="preserve">1993-2013</w:t>
                  </w:r>
                </w:p>
              </w:tc>
              <w:tc>
                <w:tcPr/>
                <w:p>
                  <w:pPr>
                    <w:pStyle w:val="Compact"/>
                    <w:jc w:val="left"/>
                    <w:jc w:val="center"/>
                  </w:pPr>
                  <w:r>
                    <w:t xml:space="preserve">Total kinetic energy (TKE) and eddy kinetic energy (EKE), from Aviso 1/4° DT-MADT geostrophic currents</w:t>
                  </w:r>
                </w:p>
              </w:tc>
            </w:tr>
            <w:tr>
              <w:tc>
                <w:tcPr/>
                <w:p>
                  <w:pPr>
                    <w:pStyle w:val="Compact"/>
                    <w:jc w:val="left"/>
                    <w:jc w:val="center"/>
                  </w:pPr>
                  <w:r>
                    <w:t xml:space="preserve">DistToEddy, DistToAEddy, DistToCEddy</w:t>
                  </w:r>
                </w:p>
              </w:tc>
              <w:tc>
                <w:tcPr/>
                <w:p>
                  <w:pPr>
                    <w:pStyle w:val="Compact"/>
                    <w:jc w:val="left"/>
                    <w:jc w:val="center"/>
                  </w:pPr>
                  <w:r>
                    <w:t xml:space="preserve">0.25°, weekly</w:t>
                  </w:r>
                </w:p>
              </w:tc>
              <w:tc>
                <w:tcPr/>
                <w:p>
                  <w:pPr>
                    <w:pStyle w:val="Compact"/>
                    <w:jc w:val="left"/>
                    <w:jc w:val="center"/>
                  </w:pPr>
                  <w:r>
                    <w:t xml:space="preserve">1993-2013</w:t>
                  </w:r>
                </w:p>
              </w:tc>
              <w:tc>
                <w:tcPr/>
                <w:p>
                  <w:pPr>
                    <w:pStyle w:val="Compact"/>
                    <w:jc w:val="left"/>
                    <w:jc w:val="center"/>
                  </w:pPr>
                  <w:r>
                    <w:t xml:space="preserve">Distance to the ring of the closest geostrophic eddy having any (DistToEddy), anticyclonic (DistToAEddy), or cyclonic (DistToCEddy) polarity, from Aviso 1/4° DT-MADT using a revision of the Chelton et al. algorithm25; we tested eddies at least 9, 4, and 0 weeks old</w:t>
                  </w:r>
                </w:p>
              </w:tc>
            </w:tr>
            <w:tr>
              <w:tc>
                <w:tcPr/>
                <w:p>
                  <w:pPr>
                    <w:pStyle w:val="Compact"/>
                    <w:jc w:val="left"/>
                    <w:jc w:val="center"/>
                  </w:pPr>
                  <w:r>
                    <w:rPr>
                      <w:bCs/>
                      <w:b/>
                    </w:rPr>
                    <w:t xml:space="preserve">Biological</w:t>
                  </w:r>
                </w:p>
              </w:tc>
              <w:tc>
                <w:tcPr/>
                <w:p>
                  <w:pPr>
                    <w:pStyle w:val="Compact"/>
                  </w:pPr>
                </w:p>
              </w:tc>
              <w:tc>
                <w:tcPr/>
                <w:p>
                  <w:pPr>
                    <w:pStyle w:val="Compact"/>
                  </w:pPr>
                </w:p>
              </w:tc>
              <w:tc>
                <w:tcPr/>
                <w:p>
                  <w:pPr>
                    <w:pStyle w:val="Compact"/>
                  </w:pPr>
                </w:p>
              </w:tc>
            </w:tr>
            <w:tr>
              <w:tc>
                <w:tcPr/>
                <w:p>
                  <w:pPr>
                    <w:pStyle w:val="Compact"/>
                    <w:jc w:val="left"/>
                    <w:jc w:val="center"/>
                  </w:pPr>
                  <w:r>
                    <w:t xml:space="preserve">Chl</w:t>
                  </w:r>
                </w:p>
              </w:tc>
              <w:tc>
                <w:tcPr/>
                <w:p>
                  <w:pPr>
                    <w:pStyle w:val="Compact"/>
                    <w:jc w:val="left"/>
                    <w:jc w:val="center"/>
                  </w:pPr>
                  <w:r>
                    <w:t xml:space="preserve">9 km, daily</w:t>
                  </w:r>
                </w:p>
              </w:tc>
              <w:tc>
                <w:tcPr/>
                <w:p>
                  <w:pPr>
                    <w:pStyle w:val="Compact"/>
                    <w:jc w:val="left"/>
                    <w:jc w:val="center"/>
                  </w:pPr>
                  <w:r>
                    <w:t xml:space="preserve">1997-2014</w:t>
                  </w:r>
                </w:p>
              </w:tc>
              <w:tc>
                <w:tcPr/>
                <w:p>
                  <w:pPr>
                    <w:pStyle w:val="Compact"/>
                    <w:jc w:val="left"/>
                    <w:jc w:val="center"/>
                  </w:pPr>
                  <w:r>
                    <w:t xml:space="preserve">GSM merged SeaWiFS/Aqua/MERIS/VIIRS chlorophyll (Chl) a concentration26, smoothed with a 3D Gaussian smoother to reduce data loss to &lt; 10%</w:t>
                  </w:r>
                </w:p>
              </w:tc>
            </w:tr>
            <w:tr>
              <w:tc>
                <w:tcPr/>
                <w:p>
                  <w:pPr>
                    <w:pStyle w:val="Compact"/>
                    <w:jc w:val="left"/>
                    <w:jc w:val="center"/>
                  </w:pPr>
                  <w:r>
                    <w:t xml:space="preserve">VGPM, CumVGPM45, CumVGPM90</w:t>
                  </w:r>
                </w:p>
              </w:tc>
              <w:tc>
                <w:tcPr/>
                <w:p>
                  <w:pPr>
                    <w:pStyle w:val="Compact"/>
                    <w:jc w:val="left"/>
                    <w:jc w:val="center"/>
                  </w:pPr>
                  <w:r>
                    <w:t xml:space="preserve">9 km, 8 days</w:t>
                  </w:r>
                </w:p>
              </w:tc>
              <w:tc>
                <w:tcPr/>
                <w:p>
                  <w:pPr>
                    <w:pStyle w:val="Compact"/>
                    <w:jc w:val="left"/>
                    <w:jc w:val="center"/>
                  </w:pPr>
                  <w:r>
                    <w:t xml:space="preserve">1997-2014</w:t>
                  </w:r>
                </w:p>
              </w:tc>
              <w:tc>
                <w:tcPr/>
                <w:p>
                  <w:pPr>
                    <w:pStyle w:val="Compact"/>
                    <w:jc w:val="left"/>
                    <w:jc w:val="center"/>
                  </w:pPr>
                  <w:r>
                    <w:t xml:space="preserve">Net primary production (mg C m-2 day-1) derived from SeaWiFS and Aqua using the Vertically Generalized Production Model (VPGM)27; we tested the original 8 day estimates as well as 45 and 90 day running accumulations</w:t>
                  </w:r>
                </w:p>
              </w:tc>
            </w:tr>
            <w:tr>
              <w:tc>
                <w:tcPr/>
                <w:p>
                  <w:pPr>
                    <w:pStyle w:val="Compact"/>
                    <w:jc w:val="left"/>
                    <w:jc w:val="center"/>
                  </w:pPr>
                  <w:r>
                    <w:t xml:space="preserve">PkPP, PkPB</w:t>
                  </w:r>
                </w:p>
              </w:tc>
              <w:tc>
                <w:tcPr/>
                <w:p>
                  <w:pPr>
                    <w:pStyle w:val="Compact"/>
                    <w:jc w:val="left"/>
                    <w:jc w:val="center"/>
                  </w:pPr>
                  <w:r>
                    <w:t xml:space="preserve">0.25°, weekly</w:t>
                  </w:r>
                </w:p>
              </w:tc>
              <w:tc>
                <w:tcPr/>
                <w:p>
                  <w:pPr>
                    <w:pStyle w:val="Compact"/>
                    <w:jc w:val="left"/>
                    <w:jc w:val="center"/>
                  </w:pPr>
                  <w:r>
                    <w:t xml:space="preserve">1997-2013</w:t>
                  </w:r>
                </w:p>
              </w:tc>
              <w:tc>
                <w:tcPr/>
                <w:p>
                  <w:pPr>
                    <w:pStyle w:val="Compact"/>
                    <w:jc w:val="left"/>
                    <w:jc w:val="center"/>
                  </w:pPr>
                  <w:r>
                    <w:t xml:space="preserve">Zooplankton production (PkPP; g m-2 day-1) and biomass (PkPB; g m-2) from the SEAPODYM ocean model28</w:t>
                  </w:r>
                </w:p>
              </w:tc>
            </w:tr>
            <w:tr>
              <w:tc>
                <w:tcPr/>
                <w:p>
                  <w:pPr>
                    <w:pStyle w:val="Compact"/>
                    <w:jc w:val="left"/>
                    <w:jc w:val="center"/>
                  </w:pPr>
                  <w:r>
                    <w:t xml:space="preserve">EpiMnkPP, EpiMnkPB</w:t>
                  </w:r>
                </w:p>
              </w:tc>
              <w:tc>
                <w:tcPr/>
                <w:p>
                  <w:pPr>
                    <w:pStyle w:val="Compact"/>
                    <w:jc w:val="left"/>
                    <w:jc w:val="center"/>
                  </w:pPr>
                  <w:r>
                    <w:t xml:space="preserve">0.25°, weekly</w:t>
                  </w:r>
                </w:p>
              </w:tc>
              <w:tc>
                <w:tcPr/>
                <w:p>
                  <w:pPr>
                    <w:pStyle w:val="Compact"/>
                    <w:jc w:val="left"/>
                    <w:jc w:val="center"/>
                  </w:pPr>
                  <w:r>
                    <w:t xml:space="preserve">1997-2013</w:t>
                  </w:r>
                </w:p>
              </w:tc>
              <w:tc>
                <w:tcPr/>
                <w:p>
                  <w:pPr>
                    <w:pStyle w:val="Compact"/>
                    <w:jc w:val="left"/>
                    <w:jc w:val="center"/>
                  </w:pPr>
                  <w:r>
                    <w:t xml:space="preserve">Epipelagic micronekton production (EpiMnkPP; g m-2 day-1) and biomass (EpiMnkPB; g m-2) from the SEAPODYM model(28)</w:t>
                  </w:r>
                </w:p>
              </w:tc>
            </w:tr>
          </w:tbl>
          <w:bookmarkEnd w:id="70"/>
          <w:p/>
        </w:tc>
      </w:tr>
    </w:tbl>
    <w:bookmarkStart w:id="71" w:name="physiographic-1"/>
    <w:p>
      <w:pPr>
        <w:pStyle w:val="Heading3"/>
      </w:pPr>
      <w:r>
        <w:t xml:space="preserve">6.0.1 Physiographic</w:t>
      </w:r>
    </w:p>
    <w:p>
      <w:pPr>
        <w:numPr>
          <w:ilvl w:val="0"/>
          <w:numId w:val="1016"/>
        </w:numPr>
      </w:pPr>
      <w:r>
        <w:rPr>
          <w:rStyle w:val="VerbatimChar"/>
        </w:rPr>
        <w:t xml:space="preserve">depth</w:t>
      </w:r>
      <w:r>
        <w:br/>
      </w:r>
      <w:r>
        <w:t xml:space="preserve">Bathymetric Depth</w:t>
      </w:r>
    </w:p>
    <w:p>
      <w:pPr>
        <w:numPr>
          <w:ilvl w:val="0"/>
          <w:numId w:val="1016"/>
        </w:numPr>
      </w:pPr>
      <w:r>
        <w:rPr>
          <w:rStyle w:val="VerbatimChar"/>
        </w:rPr>
        <w:t xml:space="preserve">d2coast</w:t>
      </w:r>
      <w:r>
        <w:br/>
      </w:r>
      <w:r>
        <w:t xml:space="preserve">Distance to Coast</w:t>
      </w:r>
    </w:p>
    <w:p>
      <w:pPr>
        <w:numPr>
          <w:ilvl w:val="0"/>
          <w:numId w:val="1016"/>
        </w:numPr>
      </w:pPr>
      <w:r>
        <w:rPr>
          <w:rStyle w:val="VerbatimChar"/>
        </w:rPr>
        <w:t xml:space="preserve">d2shelf</w:t>
      </w:r>
      <w:r>
        <w:br/>
      </w:r>
      <w:r>
        <w:t xml:space="preserve">Distance to Shelf</w:t>
      </w:r>
    </w:p>
    <w:bookmarkEnd w:id="71"/>
    <w:bookmarkStart w:id="72" w:name="time-varying-1"/>
    <w:p>
      <w:pPr>
        <w:pStyle w:val="Heading3"/>
      </w:pPr>
      <w:r>
        <w:t xml:space="preserve">6.0.2 Time Varying</w:t>
      </w:r>
    </w:p>
    <w:p>
      <w:pPr>
        <w:numPr>
          <w:ilvl w:val="0"/>
          <w:numId w:val="1017"/>
        </w:numPr>
        <w:pStyle w:val="Compact"/>
      </w:pPr>
      <w:r>
        <w:rPr>
          <w:rStyle w:val="VerbatimChar"/>
        </w:rPr>
        <w:t xml:space="preserve">vgpm</w:t>
      </w:r>
      <w:r>
        <w:br/>
      </w:r>
      <w:r>
        <w:t xml:space="preserve">Vertically integrated primary Productivity model</w:t>
      </w:r>
    </w:p>
    <w:bookmarkEnd w:id="72"/>
    <w:bookmarkStart w:id="73" w:name="depth-time-varying-1"/>
    <w:p>
      <w:pPr>
        <w:pStyle w:val="Heading3"/>
      </w:pPr>
      <w:r>
        <w:t xml:space="preserve">6.0.3 Depth &amp; Time Varying</w:t>
      </w:r>
    </w:p>
    <w:p>
      <w:pPr>
        <w:numPr>
          <w:ilvl w:val="0"/>
          <w:numId w:val="1018"/>
        </w:numPr>
      </w:pPr>
      <w:r>
        <w:rPr>
          <w:rStyle w:val="VerbatimChar"/>
        </w:rPr>
        <w:t xml:space="preserve">temp</w:t>
      </w:r>
      <w:r>
        <w:br/>
      </w:r>
      <w:r>
        <w:t xml:space="preserve">Temperature, either sea-surface temperature (SST) or some modeled product from HyCOM, ROMS or Copernicus</w:t>
      </w:r>
    </w:p>
    <w:p>
      <w:pPr>
        <w:numPr>
          <w:ilvl w:val="0"/>
          <w:numId w:val="1018"/>
        </w:numPr>
      </w:pPr>
      <w:r>
        <w:rPr>
          <w:rStyle w:val="VerbatimChar"/>
        </w:rPr>
        <w:t xml:space="preserve">salin</w:t>
      </w:r>
      <w:r>
        <w:br/>
      </w:r>
      <w:r>
        <w:t xml:space="preserve">Salinity</w:t>
      </w:r>
    </w:p>
    <w:bookmarkEnd w:id="73"/>
    <w:bookmarkEnd w:id="74"/>
    <w:bookmarkStart w:id="79" w:name="model-1"/>
    <w:p>
      <w:pPr>
        <w:pStyle w:val="Heading1"/>
      </w:pPr>
      <w:r>
        <w:t xml:space="preserve">7. Model</w:t>
      </w:r>
    </w:p>
    <w:p>
      <w:pPr>
        <w:pStyle w:val="FirstParagraph"/>
      </w:pPr>
      <w:r>
        <w:t xml:space="preserve">Model the distribution of a species</w:t>
      </w:r>
    </w:p>
    <w:p>
      <w:pPr>
        <w:pStyle w:val="BodyText"/>
      </w:pPr>
      <w:r>
        <w:br/>
      </w:r>
    </w:p>
    <w:tbl>
      <w:tblPr>
        <w:tblStyle w:val="Table"/>
        <w:tblW w:type="pct" w:w="5000"/>
        <w:tblLook w:firstRow="0" w:lastRow="0" w:firstColumn="0" w:lastColumn="0" w:noHBand="0" w:noVBand="0" w:val="0000"/>
        <w:jc w:val="start"/>
        <w:tblLayout w:type="fixed"/>
      </w:tblPr>
      <w:tblGrid>
        <w:gridCol w:w="7920"/>
      </w:tblGrid>
      <w:tr>
        <w:tc>
          <w:tcPr/>
          <w:bookmarkStart w:id="78" w:name="fig-model"/>
          <w:p>
            <w:pPr>
              <w:jc w:val="center"/>
            </w:pPr>
            <w:r>
              <w:drawing>
                <wp:inline>
                  <wp:extent cx="5334000" cy="1553307"/>
                  <wp:effectExtent b="0" l="0" r="0" t="0"/>
                  <wp:docPr descr="" title="" id="76" name="Picture"/>
                  <a:graphic>
                    <a:graphicData uri="http://schemas.openxmlformats.org/drawingml/2006/picture">
                      <pic:pic>
                        <pic:nvPicPr>
                          <pic:cNvPr descr="model_files/figure-docx/mermaid-figure-2.png" id="77" name="Picture"/>
                          <pic:cNvPicPr>
                            <a:picLocks noChangeArrowheads="1" noChangeAspect="1"/>
                          </pic:cNvPicPr>
                        </pic:nvPicPr>
                        <pic:blipFill>
                          <a:blip r:embed="rId75"/>
                          <a:stretch>
                            <a:fillRect/>
                          </a:stretch>
                        </pic:blipFill>
                        <pic:spPr bwMode="auto">
                          <a:xfrm>
                            <a:off x="0" y="0"/>
                            <a:ext cx="5334000" cy="155330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 Diagram of SDM Modeling processes.</w:t>
            </w:r>
          </w:p>
          <w:bookmarkEnd w:id="78"/>
        </w:tc>
      </w:tr>
    </w:tbl>
    <w:bookmarkEnd w:id="79"/>
    <w:bookmarkStart w:id="80" w:name="split"/>
    <w:p>
      <w:pPr>
        <w:pStyle w:val="Heading1"/>
      </w:pPr>
      <w:r>
        <w:t xml:space="preserve">8. Split</w:t>
      </w:r>
    </w:p>
    <w:p>
      <w:pPr>
        <w:pStyle w:val="FirstParagraph"/>
      </w:pPr>
      <w:r>
        <w:t xml:space="preserve">Split data into training (to fit) and test (to evaluate prediction)</w:t>
      </w:r>
    </w:p>
    <w:p>
      <w:pPr>
        <w:pStyle w:val="BodyText"/>
      </w:pPr>
      <w:r>
        <w:br/>
      </w:r>
    </w:p>
    <w:p>
      <w:pPr>
        <w:pStyle w:val="BodyText"/>
      </w:pPr>
      <w:r>
        <w:t xml:space="preserve">Data is often split so that ~20% of the observations (presence and absence) are set aside from the model fitting to be used for model evaluation.</w:t>
      </w:r>
    </w:p>
    <w:p>
      <w:pPr>
        <w:pStyle w:val="BodyText"/>
      </w:pPr>
      <w:r>
        <w:t xml:space="preserve">The</w:t>
      </w:r>
      <w:r>
        <w:t xml:space="preserve"> </w:t>
      </w:r>
      <w:r>
        <w:rPr>
          <w:rStyle w:val="VerbatimChar"/>
        </w:rPr>
        <w:t xml:space="preserve">k-fold</w:t>
      </w:r>
      <w:r>
        <w:t xml:space="preserve"> </w:t>
      </w:r>
      <w:r>
        <w:t xml:space="preserve">function is often used to split the data into k groups, and then the model is fit k times, each time using a different group as the test data and the remaining groups as the training data.</w:t>
      </w:r>
    </w:p>
    <w:bookmarkEnd w:id="80"/>
    <w:bookmarkStart w:id="82" w:name="fit"/>
    <w:p>
      <w:pPr>
        <w:pStyle w:val="Heading1"/>
      </w:pPr>
      <w:r>
        <w:t xml:space="preserve">9. Fit</w:t>
      </w:r>
    </w:p>
    <w:p>
      <w:pPr>
        <w:pStyle w:val="FirstParagraph"/>
      </w:pPr>
      <w:r>
        <w:t xml:space="preserve">Fit environmental relationship distinguishing presence from absence of</w:t>
      </w:r>
      <w:r>
        <w:t xml:space="preserve"> </w:t>
      </w:r>
      <w:r>
        <w:t xml:space="preserve">species</w:t>
      </w:r>
    </w:p>
    <w:p>
      <w:pPr>
        <w:pStyle w:val="BodyText"/>
      </w:pPr>
      <w:r>
        <w:br/>
      </w:r>
    </w:p>
    <w:p>
      <w:pPr>
        <w:pStyle w:val="BodyText"/>
      </w:pPr>
      <w:r>
        <w:t xml:space="preserve">Model fitting in theory is quite complex, but quite simple in practice, with feeding the prepared data into the modeling function.</w:t>
      </w:r>
    </w:p>
    <w:p>
      <w:pPr>
        <w:pStyle w:val="BodyText"/>
      </w:pPr>
      <w:r>
        <w:t xml:space="preserve">However there are MANY modeling techniques from which to choose. For instance check out 238 entries in</w:t>
      </w:r>
      <w:r>
        <w:t xml:space="preserve"> </w:t>
      </w:r>
      <w:hyperlink r:id="rId81">
        <w:r>
          <w:rPr>
            <w:rStyle w:val="Hyperlink"/>
          </w:rPr>
          <w:t xml:space="preserve">6 Available Models | The caret Package</w:t>
        </w:r>
      </w:hyperlink>
      <w:r>
        <w:t xml:space="preserve">.</w:t>
      </w:r>
    </w:p>
    <w:bookmarkEnd w:id="82"/>
    <w:bookmarkStart w:id="83" w:name="calibrate"/>
    <w:p>
      <w:pPr>
        <w:pStyle w:val="Heading1"/>
      </w:pPr>
      <w:r>
        <w:t xml:space="preserve">10. Calibrate</w:t>
      </w:r>
    </w:p>
    <w:p>
      <w:pPr>
        <w:pStyle w:val="FirstParagraph"/>
      </w:pPr>
      <w:r>
        <w:t xml:space="preserve">Calibrate model fit, i.e., model selection</w:t>
      </w:r>
    </w:p>
    <w:p>
      <w:pPr>
        <w:pStyle w:val="BodyText"/>
      </w:pPr>
      <w:r>
        <w:br/>
      </w:r>
    </w:p>
    <w:p>
      <w:pPr>
        <w:pStyle w:val="BodyText"/>
      </w:pPr>
      <w:r>
        <w:t xml:space="preserve">The process of refining the model to only the most relevant environmental predictor terms is commonly called</w:t>
      </w:r>
      <w:r>
        <w:t xml:space="preserve"> </w:t>
      </w:r>
      <w:r>
        <w:t xml:space="preserve">“</w:t>
      </w:r>
      <w:r>
        <w:t xml:space="preserve">Model Selection.</w:t>
      </w:r>
      <w:r>
        <w:t xml:space="preserve">”</w:t>
      </w:r>
      <w:r>
        <w:t xml:space="preserve"> </w:t>
      </w:r>
      <w:r>
        <w:t xml:space="preserve">One of the most cited scientific paper of all time</w:t>
      </w:r>
      <w:r>
        <w:t xml:space="preserve"> </w:t>
      </w:r>
      <w:r>
        <w:t xml:space="preserve">(Akaike 1974)</w:t>
      </w:r>
      <w:r>
        <w:t xml:space="preserve"> </w:t>
      </w:r>
      <w:r>
        <w:t xml:space="preserve">is based on taking a most parsimonious approach to this process – the so called Akaike Information Criteria (AIC).</w:t>
      </w:r>
    </w:p>
    <w:p>
      <w:pPr>
        <w:pStyle w:val="BodyText"/>
      </w:pPr>
      <w:r>
        <w:t xml:space="preserve">It is important to avoid using environmental predictors that are correlated with each other, since the effect of a predictor on the response could be the ecologically inverse, the result of explaining variance on the residuals of the other correlated predictor.</w:t>
      </w:r>
    </w:p>
    <w:bookmarkEnd w:id="83"/>
    <w:bookmarkStart w:id="84" w:name="predict"/>
    <w:p>
      <w:pPr>
        <w:pStyle w:val="Heading1"/>
      </w:pPr>
      <w:r>
        <w:t xml:space="preserve">11. Predict</w:t>
      </w:r>
    </w:p>
    <w:p>
      <w:pPr>
        <w:pStyle w:val="FirstParagraph"/>
      </w:pPr>
      <w:r>
        <w:t xml:space="preserve">Predict distribution of the species with environmental relationship from</w:t>
      </w:r>
      <w:r>
        <w:t xml:space="preserve"> </w:t>
      </w:r>
      <w:r>
        <w:t xml:space="preserve">fitted model</w:t>
      </w:r>
    </w:p>
    <w:p>
      <w:pPr>
        <w:pStyle w:val="BodyText"/>
      </w:pPr>
      <w:r>
        <w:br/>
      </w:r>
    </w:p>
    <w:p>
      <w:pPr>
        <w:pStyle w:val="BodyText"/>
      </w:pPr>
      <w:r>
        <w:t xml:space="preserve">The prediction step applies the environmental relationships from the fitted model to a new set of data, typically the seascape of interest, and perhaps with some sort of temporal snapshot (e.g., climatic annual or monthly average).</w:t>
      </w:r>
    </w:p>
    <w:bookmarkEnd w:id="84"/>
    <w:bookmarkStart w:id="93" w:name="evaluate"/>
    <w:p>
      <w:pPr>
        <w:pStyle w:val="Heading1"/>
      </w:pPr>
      <w:r>
        <w:t xml:space="preserve">12. Evaluate</w:t>
      </w:r>
    </w:p>
    <w:p>
      <w:pPr>
        <w:pStyle w:val="FirstParagraph"/>
      </w:pPr>
      <w:r>
        <w:t xml:space="preserve">Evaluate performance of the predicted model with the test data</w:t>
      </w:r>
    </w:p>
    <w:p>
      <w:pPr>
        <w:pStyle w:val="BodyText"/>
      </w:pPr>
      <w:r>
        <w:br/>
      </w:r>
    </w:p>
    <w:p>
      <w:pPr>
        <w:pStyle w:val="BodyText"/>
      </w:pPr>
      <w:r>
        <w:t xml:space="preserve">Model evaluation uses the set aside test data from the earlier splitting to evaluate how well the model predicts the response of presence or absence. Since the test response data is binary [0,1] and the prediction from the model is continuous [0-1], a threshold needs to be applied to assign to convert the continuous response to binary. This is often performed through a Receiver Operator Characteristic (</w:t>
      </w:r>
      <w:r>
        <w:rPr>
          <w:bCs/>
          <w:b/>
        </w:rPr>
        <w:t xml:space="preserve">ROC</w:t>
      </w:r>
      <w:r>
        <w:t xml:space="preserve">) curve (</w:t>
      </w:r>
      <w:hyperlink w:anchor="fig-rocr">
        <w:r>
          <w:rPr>
            <w:rStyle w:val="Hyperlink"/>
          </w:rPr>
          <w:t xml:space="preserve">Figure 12.1</w:t>
        </w:r>
      </w:hyperlink>
      <w:r>
        <w:t xml:space="preserve">), which evaluates at each threshold the</w:t>
      </w:r>
      <w:r>
        <w:t xml:space="preserve"> </w:t>
      </w:r>
      <w:r>
        <w:rPr>
          <w:bCs/>
          <w:b/>
        </w:rPr>
        <w:t xml:space="preserve">confusion matrix</w:t>
      </w:r>
      <w:r>
        <w:t xml:space="preserve"> </w:t>
      </w:r>
      <w:r>
        <w:t xml:space="preserve">(</w:t>
      </w:r>
      <w:hyperlink w:anchor="tbl-confusion-matrix">
        <w:r>
          <w:rPr>
            <w:rStyle w:val="Hyperlink"/>
          </w:rPr>
          <w:t xml:space="preserve">Table 12.1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85" w:name="tbl-confusion-matrix"/>
          <w:p>
            <w:pPr>
              <w:jc w:val="center"/>
            </w:pPr>
            <w:pPr>
              <w:jc w:val="start"/>
              <w:spacing w:before="200"/>
              <w:pStyle w:val="ImageCaption"/>
            </w:pPr>
            <w:r>
              <w:t xml:space="preserve">Table 12.1: Confusion matrix to understand predicted versus observed.</w:t>
            </w:r>
          </w:p>
          <w:tbl>
            <w:tblPr>
              <w:tblStyle w:val="Table"/>
              <w:tblW w:type="auto" w:w="0"/>
              <w:tblLook w:firstRow="0" w:lastRow="0" w:firstColumn="0" w:lastColumn="0" w:noHBand="0" w:noVBand="0" w:val="0000"/>
              <w:jc w:val="start"/>
            </w:tblPr>
            <w:tblGrid>
              <w:gridCol w:w="1980"/>
              <w:gridCol w:w="1980"/>
              <w:gridCol w:w="1980"/>
              <w:gridCol w:w="1980"/>
            </w:tblGrid>
            <w:tr>
              <w:tc>
                <w:tcPr/>
                <w:p>
                  <w:pPr>
                    <w:pStyle w:val="Compact"/>
                  </w:pPr>
                </w:p>
              </w:tc>
              <w:tc>
                <w:tcPr/>
                <w:p>
                  <w:pPr>
                    <w:pStyle w:val="Compact"/>
                  </w:pPr>
                </w:p>
              </w:tc>
              <w:tc>
                <w:tcPr/>
                <w:p>
                  <w:pPr>
                    <w:pStyle w:val="Compact"/>
                    <w:jc w:val="left"/>
                    <w:jc w:val="center"/>
                  </w:pPr>
                  <w:r>
                    <w:t xml:space="preserve">Predicted</w:t>
                  </w:r>
                </w:p>
              </w:tc>
              <w:tc>
                <w:tcPr/>
                <w:p>
                  <w:pPr>
                    <w:pStyle w:val="Compact"/>
                  </w:pPr>
                </w:p>
              </w:tc>
            </w:tr>
            <w:tr>
              <w:tc>
                <w:tcPr/>
                <w:p>
                  <w:pPr>
                    <w:pStyle w:val="Compact"/>
                  </w:pPr>
                </w:p>
              </w:tc>
              <w:tc>
                <w:tcPr/>
                <w:p>
                  <w:pPr>
                    <w:pStyle w:val="Compact"/>
                  </w:pPr>
                </w:p>
              </w:tc>
              <w:tc>
                <w:tcPr/>
                <w:p>
                  <w:pPr>
                    <w:pStyle w:val="Compact"/>
                    <w:jc w:val="left"/>
                    <w:jc w:val="center"/>
                  </w:pPr>
                  <w:r>
                    <w:t xml:space="preserve">0 (absence)</w:t>
                  </w:r>
                </w:p>
              </w:tc>
              <w:tc>
                <w:tcPr/>
                <w:p>
                  <w:pPr>
                    <w:pStyle w:val="Compact"/>
                    <w:jc w:val="left"/>
                    <w:jc w:val="center"/>
                  </w:pPr>
                  <w:r>
                    <w:t xml:space="preserve">1 (presence)</w:t>
                  </w:r>
                </w:p>
              </w:tc>
            </w:tr>
            <w:tr>
              <w:tc>
                <w:tcPr/>
                <w:p>
                  <w:pPr>
                    <w:pStyle w:val="Compact"/>
                    <w:jc w:val="left"/>
                    <w:jc w:val="center"/>
                  </w:pPr>
                  <w:r>
                    <w:t xml:space="preserve">Observed</w:t>
                  </w:r>
                </w:p>
              </w:tc>
              <w:tc>
                <w:tcPr/>
                <w:p>
                  <w:pPr>
                    <w:pStyle w:val="Compact"/>
                    <w:jc w:val="left"/>
                    <w:jc w:val="center"/>
                  </w:pPr>
                  <w:r>
                    <w:t xml:space="preserve">0 (absence)</w:t>
                  </w:r>
                </w:p>
              </w:tc>
              <w:tc>
                <w:tcPr/>
                <w:p>
                  <w:pPr>
                    <w:pStyle w:val="Compact"/>
                    <w:jc w:val="left"/>
                    <w:jc w:val="center"/>
                  </w:pPr>
                  <w:r>
                    <w:t xml:space="preserve">True absence</w:t>
                  </w:r>
                </w:p>
              </w:tc>
              <w:tc>
                <w:tcPr/>
                <w:p>
                  <w:pPr>
                    <w:pStyle w:val="Compact"/>
                    <w:jc w:val="left"/>
                    <w:jc w:val="center"/>
                  </w:pPr>
                  <w:r>
                    <w:t xml:space="preserve">False presence</w:t>
                  </w:r>
                </w:p>
              </w:tc>
            </w:tr>
            <w:tr>
              <w:tc>
                <w:tcPr/>
                <w:p>
                  <w:pPr>
                    <w:pStyle w:val="Compact"/>
                  </w:pPr>
                </w:p>
              </w:tc>
              <w:tc>
                <w:tcPr/>
                <w:p>
                  <w:pPr>
                    <w:pStyle w:val="Compact"/>
                    <w:jc w:val="left"/>
                    <w:jc w:val="center"/>
                  </w:pPr>
                  <w:r>
                    <w:t xml:space="preserve">1 (presence)</w:t>
                  </w:r>
                </w:p>
              </w:tc>
              <w:tc>
                <w:tcPr/>
                <w:p>
                  <w:pPr>
                    <w:pStyle w:val="Compact"/>
                    <w:jc w:val="left"/>
                    <w:jc w:val="center"/>
                  </w:pPr>
                  <w:r>
                    <w:t xml:space="preserve">False absence</w:t>
                  </w:r>
                </w:p>
              </w:tc>
              <w:tc>
                <w:tcPr/>
                <w:p>
                  <w:pPr>
                    <w:pStyle w:val="Compact"/>
                    <w:jc w:val="left"/>
                    <w:jc w:val="center"/>
                  </w:pPr>
                  <w:r>
                    <w:t xml:space="preserve">True presence</w:t>
                  </w:r>
                </w:p>
              </w:tc>
            </w:tr>
          </w:tbl>
          <w:bookmarkEnd w:id="85"/>
          <w:p/>
        </w:tc>
      </w:tr>
    </w:tbl>
    <w:p>
      <w:pPr>
        <w:pStyle w:val="BodyText"/>
      </w:pPr>
      <w: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90" w:name="fig-rocr"/>
          <w:p>
            <w:pPr>
              <w:pStyle w:val="Compact"/>
              <w:jc w:val="center"/>
            </w:pPr>
            <w:r>
              <w:drawing>
                <wp:inline>
                  <wp:extent cx="4562475" cy="3819525"/>
                  <wp:effectExtent b="0" l="0" r="0" t="0"/>
                  <wp:docPr descr="" title="" id="87" name="Picture"/>
                  <a:graphic>
                    <a:graphicData uri="http://schemas.openxmlformats.org/drawingml/2006/picture">
                      <pic:pic>
                        <pic:nvPicPr>
                          <pic:cNvPr descr="figures/rocr.png" id="88" name="Picture"/>
                          <pic:cNvPicPr>
                            <a:picLocks noChangeArrowheads="1" noChangeAspect="1"/>
                          </pic:cNvPicPr>
                        </pic:nvPicPr>
                        <pic:blipFill>
                          <a:blip r:embed="rId86"/>
                          <a:stretch>
                            <a:fillRect/>
                          </a:stretch>
                        </pic:blipFill>
                        <pic:spPr bwMode="auto">
                          <a:xfrm>
                            <a:off x="0" y="0"/>
                            <a:ext cx="4562475" cy="38195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12.1: ROC curve generated by showing rates of false positive vs false negative as function of changing the threshold value (rainbow colors). Source:</w:t>
            </w:r>
            <w:r>
              <w:t xml:space="preserve"> </w:t>
            </w:r>
            <w:hyperlink r:id="rId89">
              <w:r>
                <w:rPr>
                  <w:rStyle w:val="Hyperlink"/>
                </w:rPr>
                <w:t xml:space="preserve">ROCR: visualizing classifier performance in R</w:t>
              </w:r>
            </w:hyperlink>
          </w:p>
          <w:bookmarkEnd w:id="90"/>
        </w:tc>
      </w:tr>
    </w:tbl>
    <w:p>
      <w:pPr>
        <w:pStyle w:val="BodyText"/>
      </w:pPr>
      <w:r>
        <w:t xml:space="preserve">From the ROC curve, the area under the curve (</w:t>
      </w:r>
      <w:r>
        <w:rPr>
          <w:bCs/>
          <w:b/>
        </w:rPr>
        <w:t xml:space="preserve">AUC</w:t>
      </w:r>
      <w:r>
        <w:t xml:space="preserve">) is calculated, which is a measure of the model’s ability to distinguish between presence and absence. AUC values range from 0 to 1, with 0.5 being no better than random, and 1 being perfect.</w:t>
      </w:r>
    </w:p>
    <w:bookmarkStart w:id="92" w:name="more-resources"/>
    <w:p>
      <w:pPr>
        <w:pStyle w:val="Heading2"/>
      </w:pPr>
      <w:r>
        <w:t xml:space="preserve">12.1 More Resources</w:t>
      </w:r>
    </w:p>
    <w:p>
      <w:pPr>
        <w:numPr>
          <w:ilvl w:val="0"/>
          <w:numId w:val="1019"/>
        </w:numPr>
        <w:pStyle w:val="Compact"/>
      </w:pPr>
      <w:hyperlink r:id="rId91">
        <w:r>
          <w:rPr>
            <w:rStyle w:val="Hyperlink"/>
          </w:rPr>
          <w:t xml:space="preserve">Classification: ROC Curve and AUC | Machine Learning | Google for Developers</w:t>
        </w:r>
      </w:hyperlink>
    </w:p>
    <w:bookmarkEnd w:id="92"/>
    <w:bookmarkEnd w:id="93"/>
    <w:bookmarkStart w:id="94" w:name="combine-1"/>
    <w:p>
      <w:pPr>
        <w:pStyle w:val="Heading1"/>
      </w:pPr>
      <w:r>
        <w:t xml:space="preserve">13. Combine</w:t>
      </w:r>
    </w:p>
    <w:p>
      <w:pPr>
        <w:pStyle w:val="FirstParagraph"/>
      </w:pPr>
      <w:r>
        <w:t xml:space="preserve">Combine SDMs from the same or multiple species</w:t>
      </w:r>
    </w:p>
    <w:p>
      <w:pPr>
        <w:pStyle w:val="BodyText"/>
      </w:pPr>
      <w:r>
        <w:br/>
      </w:r>
    </w:p>
    <w:p>
      <w:pPr>
        <w:pStyle w:val="BodyText"/>
      </w:pPr>
      <w:r>
        <w:t xml:space="preserve">We look at combining SDMs to calculate biodiversity based on addressing questions of interest and relevance.</w:t>
      </w:r>
    </w:p>
    <w:p>
      <w:pPr>
        <w:numPr>
          <w:ilvl w:val="0"/>
          <w:numId w:val="1020"/>
        </w:numPr>
        <w:pStyle w:val="Compact"/>
      </w:pPr>
      <w:r>
        <w:t xml:space="preserve">See joint species distribution models (jSDMs) per Hartig et al</w:t>
      </w:r>
      <w:r>
        <w:t xml:space="preserve"> </w:t>
      </w:r>
      <w:r>
        <w:t xml:space="preserve">(2023, Box 2)</w:t>
      </w:r>
      <w:r>
        <w:t xml:space="preserve"> </w:t>
      </w:r>
      <w:r>
        <w:t xml:space="preserve">that includes species co-occurrence.</w:t>
      </w:r>
    </w:p>
    <w:bookmarkEnd w:id="94"/>
    <w:bookmarkStart w:id="99" w:name="ensemble"/>
    <w:p>
      <w:pPr>
        <w:pStyle w:val="Heading1"/>
      </w:pPr>
      <w:r>
        <w:t xml:space="preserve">14. Ensemble</w:t>
      </w:r>
    </w:p>
    <w:p>
      <w:pPr>
        <w:numPr>
          <w:ilvl w:val="0"/>
          <w:numId w:val="1021"/>
        </w:numPr>
        <w:pStyle w:val="Compact"/>
      </w:pPr>
      <w:hyperlink r:id="rId95">
        <w:r>
          <w:rPr>
            <w:rStyle w:val="VerbatimChar"/>
          </w:rPr>
          <w:t xml:space="preserve">biomod2</w:t>
        </w:r>
      </w:hyperlink>
      <w:r>
        <w:br/>
      </w:r>
      <w:r>
        <w:rPr>
          <w:iCs/>
          <w:i/>
        </w:rPr>
        <w:t xml:space="preserve">Species distribution modeling, calibration and evaluation, ensemble modeling</w:t>
      </w:r>
      <w:r>
        <w:br/>
      </w:r>
      <w:r>
        <w:drawing>
          <wp:inline>
            <wp:extent cx="5334000" cy="2075693"/>
            <wp:effectExtent b="0" l="0" r="0" t="0"/>
            <wp:docPr descr="Graphical overview of `biomod2` functions for data formatting, single SDMs, ensemble methods and visualization. Source: [`biomod2`](https://biomodhub.github.io/biomod2/)" title="" id="97" name="Picture"/>
            <a:graphic>
              <a:graphicData uri="http://schemas.openxmlformats.org/drawingml/2006/picture">
                <pic:pic>
                  <pic:nvPicPr>
                    <pic:cNvPr descr="https://biomodhub.github.io/biomod2/articles/pictures/SCHEMA_BIOMOD2_WORKFLOW_functions.png" id="98" name="Picture"/>
                    <pic:cNvPicPr>
                      <a:picLocks noChangeArrowheads="1" noChangeAspect="1"/>
                    </pic:cNvPicPr>
                  </pic:nvPicPr>
                  <pic:blipFill>
                    <a:blip r:embed="rId96"/>
                    <a:stretch>
                      <a:fillRect/>
                    </a:stretch>
                  </pic:blipFill>
                  <pic:spPr bwMode="auto">
                    <a:xfrm>
                      <a:off x="0" y="0"/>
                      <a:ext cx="5334000" cy="2075693"/>
                    </a:xfrm>
                    <a:prstGeom prst="rect">
                      <a:avLst/>
                    </a:prstGeom>
                    <a:noFill/>
                    <a:ln w="9525">
                      <a:noFill/>
                      <a:headEnd/>
                      <a:tailEnd/>
                    </a:ln>
                  </pic:spPr>
                </pic:pic>
              </a:graphicData>
            </a:graphic>
          </wp:inline>
        </w:drawing>
      </w:r>
    </w:p>
    <w:bookmarkEnd w:id="99"/>
    <w:bookmarkStart w:id="104" w:name="mosaic"/>
    <w:p>
      <w:pPr>
        <w:pStyle w:val="Heading1"/>
      </w:pPr>
      <w:r>
        <w:t xml:space="preserve">15. Mosaic</w:t>
      </w:r>
    </w:p>
    <w:tbl>
      <w:tblPr>
        <w:tblStyle w:val="Table"/>
        <w:tblW w:type="pct" w:w="5000"/>
        <w:tblLook w:firstRow="0" w:lastRow="0" w:firstColumn="0" w:lastColumn="0" w:noHBand="0" w:noVBand="0" w:val="0000"/>
        <w:jc w:val="start"/>
        <w:tblLayout w:type="fixed"/>
      </w:tblPr>
      <w:tblGrid>
        <w:gridCol w:w="7920"/>
      </w:tblGrid>
      <w:tr>
        <w:tc>
          <w:tcPr/>
          <w:bookmarkStart w:id="103" w:name="fig-sdm-response-hierarchy"/>
          <w:p>
            <w:pPr>
              <w:pStyle w:val="Compact"/>
              <w:jc w:val="center"/>
            </w:pPr>
            <w:r>
              <w:drawing>
                <wp:inline>
                  <wp:extent cx="5334000" cy="1180475"/>
                  <wp:effectExtent b="0" l="0" r="0" t="0"/>
                  <wp:docPr descr="" title="" id="101" name="Picture"/>
                  <a:graphic>
                    <a:graphicData uri="http://schemas.openxmlformats.org/drawingml/2006/picture">
                      <pic:pic>
                        <pic:nvPicPr>
                          <pic:cNvPr descr="figures/sdm-response-hierarchy.png" id="102" name="Picture"/>
                          <pic:cNvPicPr>
                            <a:picLocks noChangeArrowheads="1" noChangeAspect="1"/>
                          </pic:cNvPicPr>
                        </pic:nvPicPr>
                        <pic:blipFill>
                          <a:blip r:embed="rId100"/>
                          <a:stretch>
                            <a:fillRect/>
                          </a:stretch>
                        </pic:blipFill>
                        <pic:spPr bwMode="auto">
                          <a:xfrm>
                            <a:off x="0" y="0"/>
                            <a:ext cx="5334000" cy="11804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15.1: Hierarchy of preferred model outputs based on response type and age.</w:t>
            </w:r>
          </w:p>
          <w:bookmarkEnd w:id="103"/>
        </w:tc>
      </w:tr>
    </w:tbl>
    <w:p>
      <w:pPr>
        <w:pStyle w:val="BodyText"/>
      </w:pPr>
      <w:r>
        <w:t xml:space="preserve">This is illustrated well by</w:t>
      </w:r>
      <w:r>
        <w:t xml:space="preserve"> </w:t>
      </w:r>
      <w:hyperlink w:anchor="fig-sdm-response-hierarchy">
        <w:r>
          <w:rPr>
            <w:rStyle w:val="Hyperlink"/>
          </w:rPr>
          <w:t xml:space="preserve">Figure 15.1</w:t>
        </w:r>
      </w:hyperlink>
      <w:r>
        <w:t xml:space="preserve">.</w:t>
      </w:r>
    </w:p>
    <w:bookmarkEnd w:id="104"/>
    <w:bookmarkStart w:id="106" w:name="taxa"/>
    <w:p>
      <w:pPr>
        <w:pStyle w:val="Heading1"/>
      </w:pPr>
      <w:r>
        <w:t xml:space="preserve">16. Taxa</w:t>
      </w:r>
    </w:p>
    <w:p>
      <w:pPr>
        <w:pStyle w:val="FirstParagraph"/>
      </w:pPr>
      <w:r>
        <w:t xml:space="preserve">Group SDMs by taxanomy</w:t>
      </w:r>
    </w:p>
    <w:p>
      <w:pPr>
        <w:pStyle w:val="BodyText"/>
      </w:pPr>
      <w:r>
        <w:br/>
      </w:r>
    </w:p>
    <w:p>
      <w:pPr>
        <w:pStyle w:val="BodyText"/>
      </w:pPr>
      <w:r>
        <w:t xml:space="preserve">Taxonomic groups</w:t>
      </w:r>
      <w:r>
        <w:t xml:space="preserve"> </w:t>
      </w:r>
      <w:r>
        <w:t xml:space="preserve">(Tittensor et al. 2010)</w:t>
      </w:r>
      <w:r>
        <w:t xml:space="preserve"> </w:t>
      </w:r>
      <w:r>
        <w:t xml:space="preserve">in the high seas</w:t>
      </w:r>
      <w:r>
        <w:t xml:space="preserve"> </w:t>
      </w:r>
      <w:r>
        <w:t xml:space="preserve">(Visalli et al. 2020)</w:t>
      </w:r>
      <w:r>
        <w:t xml:space="preserve"> </w:t>
      </w:r>
      <w:r>
        <w:t xml:space="preserve">were packaged with simple query statements in the draft R package</w:t>
      </w:r>
      <w:r>
        <w:t xml:space="preserve"> </w:t>
      </w:r>
      <w:hyperlink r:id="rId105">
        <w:r>
          <w:rPr>
            <w:rStyle w:val="VerbatimChar"/>
          </w:rPr>
          <w:t xml:space="preserve">gmbi</w:t>
        </w:r>
      </w:hyperlink>
      <w:r>
        <w:t xml:space="preserve"> </w:t>
      </w:r>
      <w:r>
        <w:t xml:space="preserve">(global marine biodiversity indicators).</w:t>
      </w:r>
    </w:p>
    <w:bookmarkEnd w:id="106"/>
    <w:bookmarkStart w:id="117" w:name="indicators"/>
    <w:p>
      <w:pPr>
        <w:pStyle w:val="Heading1"/>
      </w:pPr>
      <w:r>
        <w:t xml:space="preserve">17. Indicators</w:t>
      </w:r>
    </w:p>
    <w:p>
      <w:pPr>
        <w:pStyle w:val="FirstParagraph"/>
      </w:pPr>
      <w:r>
        <w:t xml:space="preserve">Calculate indicators of ecological or management interest beyond</w:t>
      </w:r>
      <w:r>
        <w:t xml:space="preserve"> </w:t>
      </w:r>
      <w:r>
        <w:t xml:space="preserve">taxonomic groupings</w:t>
      </w:r>
    </w:p>
    <w:p>
      <w:pPr>
        <w:pStyle w:val="BodyText"/>
      </w:pPr>
      <w:r>
        <w:br/>
      </w:r>
    </w:p>
    <w:bookmarkStart w:id="107" w:name="diversity"/>
    <w:p>
      <w:pPr>
        <w:pStyle w:val="Heading2"/>
      </w:pPr>
      <w:r>
        <w:t xml:space="preserve">17.1 Diversity</w:t>
      </w:r>
    </w:p>
    <w:p>
      <w:pPr>
        <w:pStyle w:val="FirstParagraph"/>
      </w:pPr>
      <w:r>
        <w:t xml:space="preserve">Here are the classic diversity indices from the R package</w:t>
      </w:r>
      <w:r>
        <w:t xml:space="preserve"> </w:t>
      </w:r>
      <w:r>
        <w:rPr>
          <w:rStyle w:val="VerbatimChar"/>
        </w:rPr>
        <w:t xml:space="preserve">vegan</w:t>
      </w:r>
      <w:r>
        <w:t xml:space="preserve">:</w:t>
      </w:r>
    </w:p>
    <w:p>
      <w:pPr>
        <w:pStyle w:val="BlockText"/>
      </w:pPr>
      <m:oMathPara>
        <m:oMathParaPr>
          <m:jc m:val="center"/>
        </m:oMathParaPr>
        <m:oMath>
          <m:m>
            <m:mPr>
              <m:baseJc m:val="center"/>
              <m:plcHide m:val="on"/>
              <m:mcs>
                <m:mc>
                  <m:mcPr>
                    <m:mcJc m:val="right"/>
                    <m:count m:val="1"/>
                  </m:mcPr>
                </m:mc>
                <m:mc>
                  <m:mcPr>
                    <m:mcJc m:val="left"/>
                    <m:count m:val="1"/>
                  </m:mcPr>
                </m:mc>
                <m:mc>
                  <m:mcPr>
                    <m:mcJc m:val="right"/>
                    <m:count m:val="1"/>
                  </m:mcPr>
                </m:mc>
              </m:mcs>
            </m:mPr>
            <m:mr>
              <m:e>
                <m:r>
                  <m:t>H</m:t>
                </m:r>
              </m:e>
              <m:e>
                <m:r>
                  <m:rPr>
                    <m:sty m:val="p"/>
                  </m:rPr>
                  <m:t>=</m:t>
                </m:r>
                <m:r>
                  <m:rPr>
                    <m:sty m:val="p"/>
                  </m:rPr>
                  <m:t>−</m:t>
                </m:r>
                <m:nary>
                  <m:naryPr>
                    <m:chr m:val="∑"/>
                    <m:limLoc m:val="undOvr"/>
                    <m:subHide m:val="off"/>
                    <m:supHide m:val="off"/>
                  </m:naryPr>
                  <m:sub>
                    <m:r>
                      <m:t>i</m:t>
                    </m:r>
                    <m:r>
                      <m:rPr>
                        <m:sty m:val="p"/>
                      </m:rPr>
                      <m:t>=</m:t>
                    </m:r>
                    <m:r>
                      <m:t>1</m:t>
                    </m:r>
                  </m:sub>
                  <m:sup>
                    <m:r>
                      <m:t>S</m:t>
                    </m:r>
                  </m:sup>
                  <m:e>
                    <m:sSub>
                      <m:e>
                        <m:r>
                          <m:t>p</m:t>
                        </m:r>
                      </m:e>
                      <m:sub>
                        <m:r>
                          <m:t>i</m:t>
                        </m:r>
                      </m:sub>
                    </m:sSub>
                  </m:e>
                </m:nary>
                <m:sSub>
                  <m:e>
                    <m:r>
                      <m:rPr>
                        <m:sty m:val="p"/>
                      </m:rPr>
                      <m:t>log</m:t>
                    </m:r>
                  </m:e>
                  <m:sub>
                    <m:r>
                      <m:t>b</m:t>
                    </m:r>
                  </m:sub>
                </m:sSub>
                <m:sSub>
                  <m:e>
                    <m:r>
                      <m:t>p</m:t>
                    </m:r>
                  </m:e>
                  <m:sub>
                    <m:r>
                      <m:t>i</m:t>
                    </m:r>
                  </m:sub>
                </m:sSub>
              </m:e>
              <m:e>
                <m:r>
                  <m:rPr>
                    <m:nor/>
                    <m:sty m:val="p"/>
                  </m:rPr>
                  <m:t>Shannon-Weaver</m:t>
                </m:r>
              </m:e>
            </m:mr>
            <m:mr>
              <m:e>
                <m:sSub>
                  <m:e>
                    <m:r>
                      <m:t>D</m:t>
                    </m:r>
                  </m:e>
                  <m:sub>
                    <m:r>
                      <m:t>1</m:t>
                    </m:r>
                  </m:sub>
                </m:sSub>
              </m:e>
              <m:e>
                <m:r>
                  <m:rPr>
                    <m:sty m:val="p"/>
                  </m:rPr>
                  <m:t>=</m:t>
                </m:r>
                <m:r>
                  <m:t>1</m:t>
                </m:r>
                <m:r>
                  <m:rPr>
                    <m:sty m:val="p"/>
                  </m:rPr>
                  <m:t>−</m:t>
                </m:r>
                <m:nary>
                  <m:naryPr>
                    <m:chr m:val="∑"/>
                    <m:limLoc m:val="undOvr"/>
                    <m:subHide m:val="off"/>
                    <m:supHide m:val="off"/>
                  </m:naryPr>
                  <m:sub>
                    <m:r>
                      <m:t>i</m:t>
                    </m:r>
                    <m:r>
                      <m:rPr>
                        <m:sty m:val="p"/>
                      </m:rPr>
                      <m:t>=</m:t>
                    </m:r>
                    <m:r>
                      <m:t>1</m:t>
                    </m:r>
                  </m:sub>
                  <m:sup>
                    <m:r>
                      <m:t>S</m:t>
                    </m:r>
                  </m:sup>
                  <m:e>
                    <m:sSubSup>
                      <m:e>
                        <m:r>
                          <m:t>p</m:t>
                        </m:r>
                      </m:e>
                      <m:sub>
                        <m:r>
                          <m:t>i</m:t>
                        </m:r>
                      </m:sub>
                      <m:sup>
                        <m:r>
                          <m:t>2</m:t>
                        </m:r>
                      </m:sup>
                    </m:sSubSup>
                  </m:e>
                </m:nary>
              </m:e>
              <m:e>
                <m:r>
                  <m:rPr>
                    <m:nor/>
                    <m:sty m:val="p"/>
                  </m:rPr>
                  <m:t>Simpson</m:t>
                </m:r>
              </m:e>
            </m:mr>
            <m:mr>
              <m:e>
                <m:sSub>
                  <m:e>
                    <m:r>
                      <m:t>D</m:t>
                    </m:r>
                  </m:e>
                  <m:sub>
                    <m:r>
                      <m:t>2</m:t>
                    </m:r>
                  </m:sub>
                </m:sSub>
              </m:e>
              <m:e>
                <m:r>
                  <m:rPr>
                    <m:sty m:val="p"/>
                  </m:rPr>
                  <m:t>=</m:t>
                </m:r>
                <m:f>
                  <m:fPr>
                    <m:type m:val="bar"/>
                  </m:fPr>
                  <m:num>
                    <m:r>
                      <m:t>1</m:t>
                    </m:r>
                  </m:num>
                  <m:den>
                    <m:nary>
                      <m:naryPr>
                        <m:chr m:val="∑"/>
                        <m:limLoc m:val="undOvr"/>
                        <m:subHide m:val="off"/>
                        <m:supHide m:val="off"/>
                      </m:naryPr>
                      <m:sub>
                        <m:r>
                          <m:t>i</m:t>
                        </m:r>
                        <m:r>
                          <m:rPr>
                            <m:sty m:val="p"/>
                          </m:rPr>
                          <m:t>=</m:t>
                        </m:r>
                        <m:r>
                          <m:t>1</m:t>
                        </m:r>
                      </m:sub>
                      <m:sup>
                        <m:r>
                          <m:t>S</m:t>
                        </m:r>
                      </m:sup>
                      <m:e>
                        <m:sSubSup>
                          <m:e>
                            <m:r>
                              <m:t>p</m:t>
                            </m:r>
                          </m:e>
                          <m:sub>
                            <m:r>
                              <m:t>i</m:t>
                            </m:r>
                          </m:sub>
                          <m:sup>
                            <m:r>
                              <m:t>2</m:t>
                            </m:r>
                          </m:sup>
                        </m:sSubSup>
                      </m:e>
                    </m:nary>
                  </m:den>
                </m:f>
              </m:e>
              <m:e>
                <m:r>
                  <m:rPr>
                    <m:nor/>
                    <m:sty m:val="p"/>
                  </m:rPr>
                  <m:t>inverse Simpson</m:t>
                </m:r>
              </m:e>
            </m:mr>
          </m:m>
        </m:oMath>
      </m:oMathPara>
    </w:p>
    <w:p>
      <w:pPr>
        <w:pStyle w:val="BlockText"/>
      </w:pPr>
      <w:r>
        <w:t xml:space="preserve">where</w:t>
      </w:r>
      <w:r>
        <w:t xml:space="preserve"> </w:t>
      </w:r>
      <m:oMath>
        <m:sSub>
          <m:e>
            <m:r>
              <m:t>p</m:t>
            </m:r>
          </m:e>
          <m:sub>
            <m:r>
              <m:t>i</m:t>
            </m:r>
          </m:sub>
        </m:sSub>
      </m:oMath>
      <w:r>
        <w:t xml:space="preserve"> </w:t>
      </w:r>
      <w:r>
        <w:t xml:space="preserve">is the proportion of species</w:t>
      </w:r>
      <w:r>
        <w:t xml:space="preserve"> </w:t>
      </w:r>
      <m:oMath>
        <m:r>
          <m:t>i</m:t>
        </m:r>
      </m:oMath>
      <w:r>
        <w:t xml:space="preserve">, and</w:t>
      </w:r>
      <w:r>
        <w:t xml:space="preserve"> </w:t>
      </w:r>
      <m:oMath>
        <m:r>
          <m:t>S</m:t>
        </m:r>
      </m:oMath>
      <w:r>
        <w:t xml:space="preserve"> </w:t>
      </w:r>
      <w:r>
        <w:t xml:space="preserve">is the number of species so that</w:t>
      </w:r>
      <w:r>
        <w:t xml:space="preserve"> </w:t>
      </w:r>
      <m:oMath>
        <m:nary>
          <m:naryPr>
            <m:chr m:val="∑"/>
            <m:limLoc m:val="undOvr"/>
            <m:subHide m:val="off"/>
            <m:supHide m:val="off"/>
          </m:naryPr>
          <m:sub>
            <m:r>
              <m:t>i</m:t>
            </m:r>
            <m:r>
              <m:rPr>
                <m:sty m:val="p"/>
              </m:rPr>
              <m:t>=</m:t>
            </m:r>
            <m:r>
              <m:t>1</m:t>
            </m:r>
          </m:sub>
          <m:sup>
            <m:r>
              <m:t>S</m:t>
            </m:r>
          </m:sup>
          <m:e>
            <m:sSub>
              <m:e>
                <m:r>
                  <m:t>p</m:t>
                </m:r>
              </m:e>
              <m:sub>
                <m:r>
                  <m:t>i</m:t>
                </m:r>
              </m:sub>
            </m:sSub>
          </m:e>
        </m:nary>
        <m:r>
          <m:rPr>
            <m:sty m:val="p"/>
          </m:rPr>
          <m:t>=</m:t>
        </m:r>
        <m:r>
          <m:t>1</m:t>
        </m:r>
      </m:oMath>
      <w:r>
        <w:t xml:space="preserve">, and</w:t>
      </w:r>
      <w:r>
        <w:t xml:space="preserve"> </w:t>
      </w:r>
      <m:oMath>
        <m:r>
          <m:t>b</m:t>
        </m:r>
      </m:oMath>
      <w:r>
        <w:t xml:space="preserve"> </w:t>
      </w:r>
      <w:r>
        <w:t xml:space="preserve">is the base of the logarithm.</w:t>
      </w:r>
    </w:p>
    <w:bookmarkEnd w:id="107"/>
    <w:bookmarkStart w:id="108" w:name="endemism"/>
    <w:p>
      <w:pPr>
        <w:pStyle w:val="Heading2"/>
      </w:pPr>
      <w:r>
        <w:t xml:space="preserve">17.2 Endemism</w:t>
      </w:r>
    </w:p>
    <w:p>
      <w:pPr>
        <w:pStyle w:val="FirstParagraph"/>
      </w:pPr>
      <w:r>
        <w:t xml:space="preserve">Endemism could be measured as a function of the presence or average of the species range, given by either a global SDM converted to a binary range or using the existing IUCN range maps.</w:t>
      </w:r>
    </w:p>
    <w:bookmarkEnd w:id="108"/>
    <w:bookmarkStart w:id="110" w:name="extinction-risk"/>
    <w:p>
      <w:pPr>
        <w:pStyle w:val="Heading2"/>
      </w:pPr>
      <w:r>
        <w:t xml:space="preserve">17.3 Extinction Risk</w:t>
      </w:r>
    </w:p>
    <w:p>
      <w:pPr>
        <w:pStyle w:val="FirstParagraph"/>
      </w:pPr>
      <w:r>
        <w:t xml:space="preserve">This is provided by IUCN RedList, as well as sometimes at a national level, such as NatureServe’s</w:t>
      </w:r>
      <w:r>
        <w:t xml:space="preserve"> </w:t>
      </w:r>
      <w:hyperlink r:id="rId109">
        <w:r>
          <w:rPr>
            <w:rStyle w:val="Hyperlink"/>
          </w:rPr>
          <w:t xml:space="preserve">Conservation Status Ranks</w:t>
        </w:r>
      </w:hyperlink>
      <w:r>
        <w:t xml:space="preserve"> </w:t>
      </w:r>
      <w:r>
        <w:t xml:space="preserve">for the U.S.</w:t>
      </w:r>
    </w:p>
    <w:bookmarkEnd w:id="110"/>
    <w:bookmarkStart w:id="111" w:name="functional-importance"/>
    <w:p>
      <w:pPr>
        <w:pStyle w:val="Heading2"/>
      </w:pPr>
      <w:r>
        <w:t xml:space="preserve">17.4 Functional Importance</w:t>
      </w:r>
    </w:p>
    <w:bookmarkEnd w:id="111"/>
    <w:bookmarkStart w:id="112" w:name="habitat-forming"/>
    <w:p>
      <w:pPr>
        <w:pStyle w:val="Heading2"/>
      </w:pPr>
      <w:r>
        <w:t xml:space="preserve">17.5 Habitat Forming</w:t>
      </w:r>
    </w:p>
    <w:p>
      <w:pPr>
        <w:pStyle w:val="FirstParagraph"/>
      </w:pPr>
      <w:r>
        <w:t xml:space="preserve">Habitat forming species, such as coral, mangrove, seagrasses and kelp are especially important for biodiversity and ecosystem services.</w:t>
      </w:r>
    </w:p>
    <w:bookmarkEnd w:id="112"/>
    <w:bookmarkStart w:id="113" w:name="phylogenetic-uniqueness"/>
    <w:p>
      <w:pPr>
        <w:pStyle w:val="Heading2"/>
      </w:pPr>
      <w:r>
        <w:t xml:space="preserve">17.6 Phylogenetic Uniqueness</w:t>
      </w:r>
    </w:p>
    <w:bookmarkEnd w:id="113"/>
    <w:bookmarkStart w:id="114" w:name="richness"/>
    <w:p>
      <w:pPr>
        <w:pStyle w:val="Heading2"/>
      </w:pPr>
      <w:r>
        <w:t xml:space="preserve">17.7 Richness</w:t>
      </w:r>
    </w:p>
    <w:bookmarkEnd w:id="114"/>
    <w:bookmarkStart w:id="115" w:name="sensitivity"/>
    <w:p>
      <w:pPr>
        <w:pStyle w:val="Heading2"/>
      </w:pPr>
      <w:r>
        <w:t xml:space="preserve">17.8 Sensitivity</w:t>
      </w:r>
    </w:p>
    <w:p>
      <w:pPr>
        <w:pStyle w:val="FirstParagraph"/>
      </w:pPr>
      <w:r>
        <w:t xml:space="preserve">Sensitivity to specific human activities, such as shipping or fishing. Some activities may have different stages of development, such as construction versus operation of offshore wind energy.</w:t>
      </w:r>
    </w:p>
    <w:bookmarkEnd w:id="115"/>
    <w:bookmarkStart w:id="116" w:name="trophic-index"/>
    <w:p>
      <w:pPr>
        <w:pStyle w:val="Heading2"/>
      </w:pPr>
      <w:r>
        <w:t xml:space="preserve">17.9 Trophic Index</w:t>
      </w:r>
    </w:p>
    <w:bookmarkEnd w:id="116"/>
    <w:bookmarkEnd w:id="117"/>
    <w:bookmarkStart w:id="118" w:name="share-1"/>
    <w:p>
      <w:pPr>
        <w:pStyle w:val="Heading1"/>
      </w:pPr>
      <w:r>
        <w:t xml:space="preserve">18. Share</w:t>
      </w:r>
    </w:p>
    <w:p>
      <w:pPr>
        <w:pStyle w:val="FirstParagraph"/>
      </w:pPr>
      <w:r>
        <w:t xml:space="preserve">Metadata standards and portals to share SDMs</w:t>
      </w:r>
    </w:p>
    <w:p>
      <w:pPr>
        <w:pStyle w:val="BodyText"/>
      </w:pPr>
      <w:r>
        <w:br/>
      </w:r>
    </w:p>
    <w:bookmarkEnd w:id="118"/>
    <w:bookmarkStart w:id="119" w:name="metadata"/>
    <w:p>
      <w:pPr>
        <w:pStyle w:val="Heading1"/>
      </w:pPr>
      <w:r>
        <w:t xml:space="preserve">19. Metadata</w:t>
      </w:r>
    </w:p>
    <w:p>
      <w:pPr>
        <w:pStyle w:val="FirstParagraph"/>
      </w:pPr>
      <w:r>
        <w:t xml:space="preserve">Metadata standards for reproducible and stackable SDMs</w:t>
      </w:r>
    </w:p>
    <w:p>
      <w:pPr>
        <w:pStyle w:val="BodyText"/>
      </w:pPr>
      <w:r>
        <w:br/>
      </w:r>
    </w:p>
    <w:p>
      <w:pPr>
        <w:pStyle w:val="BodyText"/>
      </w:pPr>
      <w:r>
        <w:t xml:space="preserve">What standards</w:t>
      </w:r>
      <w:r>
        <w:t xml:space="preserve"> </w:t>
      </w:r>
      <w:r>
        <w:t xml:space="preserve">(Araújo et al. 2019; Kass et al. 2023; Zurell et al. 2020)</w:t>
      </w:r>
      <w:r>
        <w:t xml:space="preserve"> </w:t>
      </w:r>
      <w:r>
        <w:t xml:space="preserve">are required for models to be hosted?</w:t>
      </w:r>
    </w:p>
    <w:p>
      <w:pPr>
        <w:numPr>
          <w:ilvl w:val="0"/>
          <w:numId w:val="1022"/>
        </w:numPr>
      </w:pPr>
      <w:r>
        <w:t xml:space="preserve">input</w:t>
      </w:r>
    </w:p>
    <w:p>
      <w:pPr>
        <w:numPr>
          <w:ilvl w:val="1"/>
          <w:numId w:val="1023"/>
        </w:numPr>
      </w:pPr>
      <w:r>
        <w:t xml:space="preserve">input observations</w:t>
      </w:r>
    </w:p>
    <w:p>
      <w:pPr>
        <w:numPr>
          <w:ilvl w:val="1"/>
          <w:numId w:val="1023"/>
        </w:numPr>
      </w:pPr>
      <w:r>
        <w:t xml:space="preserve">environmental predictors</w:t>
      </w:r>
      <w:r>
        <w:br/>
      </w:r>
      <w:r>
        <w:t xml:space="preserve">and range of values in original observations</w:t>
      </w:r>
    </w:p>
    <w:p>
      <w:pPr>
        <w:numPr>
          <w:ilvl w:val="1"/>
          <w:numId w:val="1023"/>
        </w:numPr>
      </w:pPr>
      <w:r>
        <w:t xml:space="preserve">model type and object</w:t>
      </w:r>
    </w:p>
    <w:p>
      <w:pPr>
        <w:numPr>
          <w:ilvl w:val="0"/>
          <w:numId w:val="1022"/>
        </w:numPr>
      </w:pPr>
      <w:r>
        <w:t xml:space="preserve">outputs</w:t>
      </w:r>
    </w:p>
    <w:p>
      <w:pPr>
        <w:numPr>
          <w:ilvl w:val="1"/>
          <w:numId w:val="1024"/>
        </w:numPr>
      </w:pPr>
      <w:r>
        <w:t xml:space="preserve">model object</w:t>
      </w:r>
    </w:p>
    <w:p>
      <w:pPr>
        <w:numPr>
          <w:ilvl w:val="1"/>
          <w:numId w:val="1024"/>
        </w:numPr>
      </w:pPr>
      <w:r>
        <w:t xml:space="preserve">mean prediction</w:t>
      </w:r>
    </w:p>
    <w:p>
      <w:pPr>
        <w:numPr>
          <w:ilvl w:val="1"/>
          <w:numId w:val="1024"/>
        </w:numPr>
      </w:pPr>
      <w:r>
        <w:t xml:space="preserve">measure(s) of uncertainty</w:t>
      </w:r>
      <w:r>
        <w:br/>
      </w:r>
      <w:r>
        <w:t xml:space="preserve">standard error, standard deviation (</w:t>
      </w:r>
      <w:r>
        <w:rPr>
          <w:rStyle w:val="VerbatimChar"/>
        </w:rPr>
        <w:t xml:space="preserve">sd</w:t>
      </w:r>
      <w:r>
        <w:t xml:space="preserve">), confidence intervals (e.g., 5% and 95%), coefficient of variation (cv)…</w:t>
      </w:r>
    </w:p>
    <w:bookmarkEnd w:id="119"/>
    <w:bookmarkStart w:id="126" w:name="portal"/>
    <w:p>
      <w:pPr>
        <w:pStyle w:val="Heading1"/>
      </w:pPr>
      <w:r>
        <w:t xml:space="preserve">20. Portal</w:t>
      </w:r>
    </w:p>
    <w:p>
      <w:pPr>
        <w:pStyle w:val="FirstParagraph"/>
      </w:pPr>
      <w:r>
        <w:t xml:space="preserve">Portal to host and combine for user-specific needs</w:t>
      </w:r>
    </w:p>
    <w:p>
      <w:pPr>
        <w:pStyle w:val="BodyText"/>
      </w:pPr>
      <w:r>
        <w:br/>
      </w:r>
    </w:p>
    <w:p>
      <w:pPr>
        <w:pStyle w:val="BodyText"/>
      </w:pPr>
      <w:r>
        <w:t xml:space="preserve">Can we supplement an existing portal or create a new one to host different types of model outputs and combine them?</w:t>
      </w:r>
    </w:p>
    <w:p>
      <w:pPr>
        <w:pStyle w:val="BodyText"/>
      </w:pPr>
      <w:r>
        <w:t xml:space="preserve">What are publishing workflows for existing portals?</w:t>
      </w:r>
    </w:p>
    <w:p>
      <w:pPr>
        <w:numPr>
          <w:ilvl w:val="0"/>
          <w:numId w:val="1025"/>
        </w:numPr>
        <w:pStyle w:val="Compact"/>
      </w:pPr>
      <w:r>
        <w:t xml:space="preserve">Existing portals used to share SDMs</w:t>
      </w:r>
    </w:p>
    <w:p>
      <w:pPr>
        <w:numPr>
          <w:ilvl w:val="1"/>
          <w:numId w:val="1026"/>
        </w:numPr>
      </w:pPr>
      <w:hyperlink r:id="rId24">
        <w:r>
          <w:rPr>
            <w:rStyle w:val="Hyperlink"/>
          </w:rPr>
          <w:t xml:space="preserve">AquaMaps</w:t>
        </w:r>
      </w:hyperlink>
      <w:r>
        <w:t xml:space="preserve"> </w:t>
      </w:r>
      <w:r>
        <w:rPr>
          <w:iCs/>
          <w:i/>
        </w:rPr>
        <w:t xml:space="preserve">Standardized distribution maps for over 33,500 species of fishes, marine mammals and invertebrates</w:t>
      </w:r>
    </w:p>
    <w:p>
      <w:pPr>
        <w:numPr>
          <w:ilvl w:val="1"/>
          <w:numId w:val="1026"/>
        </w:numPr>
      </w:pPr>
      <w:hyperlink r:id="rId120">
        <w:r>
          <w:rPr>
            <w:rStyle w:val="Hyperlink"/>
          </w:rPr>
          <w:t xml:space="preserve">DisMAP</w:t>
        </w:r>
      </w:hyperlink>
      <w:r>
        <w:br/>
      </w:r>
      <w:r>
        <w:rPr>
          <w:iCs/>
          <w:i/>
        </w:rPr>
        <w:t xml:space="preserve">Distribution Mapping and Analysis Portal</w:t>
      </w:r>
    </w:p>
    <w:p>
      <w:pPr>
        <w:numPr>
          <w:ilvl w:val="1"/>
          <w:numId w:val="1026"/>
        </w:numPr>
      </w:pPr>
      <w:hyperlink r:id="rId121">
        <w:r>
          <w:rPr>
            <w:rStyle w:val="Hyperlink"/>
          </w:rPr>
          <w:t xml:space="preserve">OBIS-SEAMAP Model Repository</w:t>
        </w:r>
      </w:hyperlink>
      <w:r>
        <w:br/>
      </w:r>
      <w:r>
        <w:rPr>
          <w:iCs/>
          <w:i/>
        </w:rPr>
        <w:t xml:space="preserve">World Data Center for Marine Mammal, Seabird, Sea Turtle, Shark &amp; Ray Distributions</w:t>
      </w:r>
    </w:p>
    <w:p>
      <w:pPr>
        <w:numPr>
          <w:ilvl w:val="1"/>
          <w:numId w:val="1026"/>
        </w:numPr>
      </w:pPr>
      <w:hyperlink r:id="rId122">
        <w:r>
          <w:rPr>
            <w:rStyle w:val="Hyperlink"/>
          </w:rPr>
          <w:t xml:space="preserve">NCEI</w:t>
        </w:r>
      </w:hyperlink>
      <w:r>
        <w:br/>
      </w:r>
      <w:r>
        <w:rPr>
          <w:iCs/>
          <w:i/>
        </w:rPr>
        <w:t xml:space="preserve">National Centers for Environmental Information (NOAA)</w:t>
      </w:r>
    </w:p>
    <w:p>
      <w:pPr>
        <w:numPr>
          <w:ilvl w:val="1"/>
          <w:numId w:val="1026"/>
        </w:numPr>
      </w:pPr>
      <w:hyperlink r:id="rId123">
        <w:r>
          <w:rPr>
            <w:rStyle w:val="Hyperlink"/>
          </w:rPr>
          <w:t xml:space="preserve">DataONE</w:t>
        </w:r>
      </w:hyperlink>
      <w:r>
        <w:br/>
      </w:r>
      <w:r>
        <w:rPr>
          <w:iCs/>
          <w:i/>
        </w:rPr>
        <w:t xml:space="preserve">Data Observation Network for Earth</w:t>
      </w:r>
    </w:p>
    <w:p>
      <w:pPr>
        <w:numPr>
          <w:ilvl w:val="1"/>
          <w:numId w:val="1026"/>
        </w:numPr>
      </w:pPr>
      <w:hyperlink r:id="rId124">
        <w:r>
          <w:rPr>
            <w:rStyle w:val="Hyperlink"/>
          </w:rPr>
          <w:t xml:space="preserve">ArcGIS Online</w:t>
        </w:r>
      </w:hyperlink>
    </w:p>
    <w:p>
      <w:pPr>
        <w:numPr>
          <w:ilvl w:val="1"/>
          <w:numId w:val="1000"/>
        </w:numPr>
      </w:pPr>
      <w:r>
        <w:rPr>
          <w:iCs/>
          <w:i/>
        </w:rPr>
        <w:t xml:space="preserve">Esri’s commercial data sharing platform</w:t>
      </w:r>
    </w:p>
    <w:p>
      <w:pPr>
        <w:numPr>
          <w:ilvl w:val="0"/>
          <w:numId w:val="1025"/>
        </w:numPr>
        <w:pStyle w:val="Compact"/>
      </w:pPr>
      <w:r>
        <w:t xml:space="preserve">Candidate portal</w:t>
      </w:r>
      <w:r>
        <w:br/>
      </w:r>
      <w:hyperlink r:id="rId125">
        <w:r>
          <w:rPr>
            <w:rStyle w:val="Hyperlink"/>
          </w:rPr>
          <w:t xml:space="preserve">MarineSpeciesMaps.org</w:t>
        </w:r>
      </w:hyperlink>
      <w:r>
        <w:br/>
      </w:r>
      <w:r>
        <w:t xml:space="preserve">BDB registered the domain. Similar to:</w:t>
      </w:r>
    </w:p>
    <w:p>
      <w:pPr>
        <w:numPr>
          <w:ilvl w:val="1"/>
          <w:numId w:val="1027"/>
        </w:numPr>
        <w:pStyle w:val="Compact"/>
      </w:pPr>
      <w:r>
        <w:rPr>
          <w:bCs/>
          <w:b/>
        </w:rPr>
        <w:t xml:space="preserve">MarineRegions.org</w:t>
      </w:r>
      <w:r>
        <w:br/>
      </w:r>
      <w:r>
        <w:rPr>
          <w:iCs/>
          <w:i/>
        </w:rPr>
        <w:t xml:space="preserve">spatial authority</w:t>
      </w:r>
    </w:p>
    <w:p>
      <w:pPr>
        <w:numPr>
          <w:ilvl w:val="1"/>
          <w:numId w:val="1027"/>
        </w:numPr>
        <w:pStyle w:val="Compact"/>
      </w:pPr>
      <w:r>
        <w:rPr>
          <w:bCs/>
          <w:b/>
        </w:rPr>
        <w:t xml:space="preserve">MarineSpecies.org</w:t>
      </w:r>
      <w:r>
        <w:br/>
      </w:r>
      <w:r>
        <w:rPr>
          <w:iCs/>
          <w:i/>
        </w:rPr>
        <w:t xml:space="preserve">taxonomic authority</w:t>
      </w:r>
    </w:p>
    <w:bookmarkEnd w:id="126"/>
    <w:bookmarkStart w:id="177" w:name="references"/>
    <w:p>
      <w:pPr>
        <w:pStyle w:val="Heading1"/>
      </w:pPr>
      <w:r>
        <w:t xml:space="preserve">References</w:t>
      </w:r>
    </w:p>
    <w:bookmarkStart w:id="176" w:name="refs"/>
    <w:bookmarkStart w:id="127" w:name="ref-akaike1974"/>
    <w:p>
      <w:pPr>
        <w:pStyle w:val="Bibliography"/>
      </w:pPr>
      <w:r>
        <w:t xml:space="preserve">Akaike, H. 1974.</w:t>
      </w:r>
      <w:r>
        <w:t xml:space="preserve"> </w:t>
      </w:r>
      <w:r>
        <w:t xml:space="preserve">“A New Look at the Statistical Model Identification.”</w:t>
      </w:r>
      <w:r>
        <w:t xml:space="preserve"> </w:t>
      </w:r>
      <w:r>
        <w:rPr>
          <w:iCs/>
          <w:i/>
        </w:rPr>
        <w:t xml:space="preserve">IEEE Transactions on Automatic Control</w:t>
      </w:r>
      <w:r>
        <w:t xml:space="preserve"> </w:t>
      </w:r>
      <w:r>
        <w:t xml:space="preserve">19 (6): 716723.</w:t>
      </w:r>
    </w:p>
    <w:bookmarkEnd w:id="127"/>
    <w:bookmarkStart w:id="129" w:name="ref-araújo2019"/>
    <w:p>
      <w:pPr>
        <w:pStyle w:val="Bibliography"/>
      </w:pPr>
      <w:r>
        <w:t xml:space="preserve">Araújo, Miguel B., Robert P. Anderson, A. Márcia Barbosa, Colin M. Beale, Carsten F. Dormann, Regan Early, Raquel A. Garcia, et al. 2019.</w:t>
      </w:r>
      <w:r>
        <w:t xml:space="preserve"> </w:t>
      </w:r>
      <w:r>
        <w:t xml:space="preserve">“Standards for Distribution Models in Biodiversity Assessments.”</w:t>
      </w:r>
      <w:r>
        <w:t xml:space="preserve"> </w:t>
      </w:r>
      <w:r>
        <w:rPr>
          <w:iCs/>
          <w:i/>
        </w:rPr>
        <w:t xml:space="preserve">Science Advances</w:t>
      </w:r>
      <w:r>
        <w:t xml:space="preserve"> </w:t>
      </w:r>
      <w:r>
        <w:t xml:space="preserve">5 (1): eaat4858.</w:t>
      </w:r>
      <w:r>
        <w:t xml:space="preserve"> </w:t>
      </w:r>
      <w:hyperlink r:id="rId128">
        <w:r>
          <w:rPr>
            <w:rStyle w:val="Hyperlink"/>
          </w:rPr>
          <w:t xml:space="preserve">https://doi.org/10.1126/sciadv.aat4858</w:t>
        </w:r>
      </w:hyperlink>
      <w:r>
        <w:t xml:space="preserve">.</w:t>
      </w:r>
    </w:p>
    <w:bookmarkEnd w:id="129"/>
    <w:bookmarkStart w:id="131" w:name="ref-barbet-massin2012"/>
    <w:p>
      <w:pPr>
        <w:pStyle w:val="Bibliography"/>
      </w:pPr>
      <w:r>
        <w:t xml:space="preserve">Barbet-Massin, Morgane, Frédéric Jiguet, Cécile Hélène Albert, and Wilfried Thuiller. 2012.</w:t>
      </w:r>
      <w:r>
        <w:t xml:space="preserve"> </w:t>
      </w:r>
      <w:r>
        <w:t xml:space="preserve">“Selecting Pseudo-Absences for Species Distribution Models: How, Where and How Many?”</w:t>
      </w:r>
      <w:r>
        <w:t xml:space="preserve"> </w:t>
      </w:r>
      <w:r>
        <w:rPr>
          <w:iCs/>
          <w:i/>
        </w:rPr>
        <w:t xml:space="preserve">Methods in Ecology and Evolution</w:t>
      </w:r>
      <w:r>
        <w:t xml:space="preserve"> </w:t>
      </w:r>
      <w:r>
        <w:t xml:space="preserve">3 (2): 327–38.</w:t>
      </w:r>
      <w:r>
        <w:t xml:space="preserve"> </w:t>
      </w:r>
      <w:hyperlink r:id="rId130">
        <w:r>
          <w:rPr>
            <w:rStyle w:val="Hyperlink"/>
          </w:rPr>
          <w:t xml:space="preserve">https://doi.org/10.1111/j.2041-210X.2011.00172.x</w:t>
        </w:r>
      </w:hyperlink>
      <w:r>
        <w:t xml:space="preserve">.</w:t>
      </w:r>
    </w:p>
    <w:bookmarkEnd w:id="131"/>
    <w:bookmarkStart w:id="133" w:name="ref-camposEcologicalNicheModels2023"/>
    <w:p>
      <w:pPr>
        <w:pStyle w:val="Bibliography"/>
      </w:pPr>
      <w:r>
        <w:t xml:space="preserve">Campos, João C., Nuno Garcia, João Alírio, Salvador Arenas-Castro, Ana C. Teodoro, and Neftalí Sillero. 2023.</w:t>
      </w:r>
      <w:r>
        <w:t xml:space="preserve"> </w:t>
      </w:r>
      <w:r>
        <w:t xml:space="preserve">“Ecological</w:t>
      </w:r>
      <w:r>
        <w:t xml:space="preserve"> </w:t>
      </w:r>
      <w:r>
        <w:t xml:space="preserve">Niche Models</w:t>
      </w:r>
      <w:r>
        <w:t xml:space="preserve"> </w:t>
      </w:r>
      <w:r>
        <w:t xml:space="preserve">Using</w:t>
      </w:r>
      <w:r>
        <w:t xml:space="preserve"> </w:t>
      </w:r>
      <w:r>
        <w:t xml:space="preserve">MaxEnt</w:t>
      </w:r>
      <w:r>
        <w:t xml:space="preserve"> </w:t>
      </w:r>
      <w:r>
        <w:t xml:space="preserve">in</w:t>
      </w:r>
      <w:r>
        <w:t xml:space="preserve"> </w:t>
      </w:r>
      <w:r>
        <w:t xml:space="preserve">Google Earth Engine</w:t>
      </w:r>
      <w:r>
        <w:t xml:space="preserve">:</w:t>
      </w:r>
      <w:r>
        <w:t xml:space="preserve"> </w:t>
      </w:r>
      <w:r>
        <w:t xml:space="preserve">Evaluation</w:t>
      </w:r>
      <w:r>
        <w:t xml:space="preserve">, Guidelines and Recommendations.”</w:t>
      </w:r>
      <w:r>
        <w:t xml:space="preserve"> </w:t>
      </w:r>
      <w:r>
        <w:rPr>
          <w:iCs/>
          <w:i/>
        </w:rPr>
        <w:t xml:space="preserve">Ecological Informatics</w:t>
      </w:r>
      <w:r>
        <w:t xml:space="preserve"> </w:t>
      </w:r>
      <w:r>
        <w:t xml:space="preserve">76 (September): 102147.</w:t>
      </w:r>
      <w:r>
        <w:t xml:space="preserve"> </w:t>
      </w:r>
      <w:hyperlink r:id="rId132">
        <w:r>
          <w:rPr>
            <w:rStyle w:val="Hyperlink"/>
          </w:rPr>
          <w:t xml:space="preserve">https://doi.org/10.1016/j.ecoinf.2023.102147</w:t>
        </w:r>
      </w:hyperlink>
      <w:r>
        <w:t xml:space="preserve">.</w:t>
      </w:r>
    </w:p>
    <w:bookmarkEnd w:id="133"/>
    <w:bookmarkStart w:id="135" w:name="ref-carroll2022"/>
    <w:p>
      <w:pPr>
        <w:pStyle w:val="Bibliography"/>
      </w:pPr>
      <w:r>
        <w:t xml:space="preserve">Carroll, C., R. F. Noss, and Bruce A. Stein. 2022.</w:t>
      </w:r>
      <w:r>
        <w:t xml:space="preserve"> </w:t>
      </w:r>
      <w:r>
        <w:t xml:space="preserve">“US Conservation Atlas Needs Biodiversity Data.”</w:t>
      </w:r>
      <w:r>
        <w:t xml:space="preserve"> </w:t>
      </w:r>
      <w:r>
        <w:rPr>
          <w:iCs/>
          <w:i/>
        </w:rPr>
        <w:t xml:space="preserve">Science</w:t>
      </w:r>
      <w:r>
        <w:t xml:space="preserve"> </w:t>
      </w:r>
      <w:r>
        <w:t xml:space="preserve">376 (6589): 144–45.</w:t>
      </w:r>
      <w:r>
        <w:t xml:space="preserve"> </w:t>
      </w:r>
      <w:hyperlink r:id="rId134">
        <w:r>
          <w:rPr>
            <w:rStyle w:val="Hyperlink"/>
          </w:rPr>
          <w:t xml:space="preserve">https://doi.org/10.1126/science.abo0526</w:t>
        </w:r>
      </w:hyperlink>
      <w:r>
        <w:t xml:space="preserve">.</w:t>
      </w:r>
    </w:p>
    <w:bookmarkEnd w:id="135"/>
    <w:bookmarkStart w:id="137" w:name="ref-elith2009"/>
    <w:p>
      <w:pPr>
        <w:pStyle w:val="Bibliography"/>
      </w:pPr>
      <w:r>
        <w:t xml:space="preserve">Elith, Jane, and John R. Leathwick. 2009.</w:t>
      </w:r>
      <w:r>
        <w:t xml:space="preserve"> </w:t>
      </w:r>
      <w:r>
        <w:t xml:space="preserve">“Species Distribution Models: Ecological Explanation and Prediction Across Space and Time.”</w:t>
      </w:r>
      <w:r>
        <w:t xml:space="preserve"> </w:t>
      </w:r>
      <w:r>
        <w:rPr>
          <w:iCs/>
          <w:i/>
        </w:rPr>
        <w:t xml:space="preserve">Annual Review of Ecology, Evolution, and Systematics</w:t>
      </w:r>
      <w:r>
        <w:t xml:space="preserve"> </w:t>
      </w:r>
      <w:r>
        <w:t xml:space="preserve">40 (1): 677–97.</w:t>
      </w:r>
      <w:r>
        <w:t xml:space="preserve"> </w:t>
      </w:r>
      <w:hyperlink r:id="rId136">
        <w:r>
          <w:rPr>
            <w:rStyle w:val="Hyperlink"/>
          </w:rPr>
          <w:t xml:space="preserve">https://doi.org/10.1146/annurev.ecolsys.110308.120159</w:t>
        </w:r>
      </w:hyperlink>
      <w:r>
        <w:t xml:space="preserve">.</w:t>
      </w:r>
    </w:p>
    <w:bookmarkEnd w:id="137"/>
    <w:bookmarkStart w:id="139" w:name="ref-elith2011"/>
    <w:p>
      <w:pPr>
        <w:pStyle w:val="Bibliography"/>
      </w:pPr>
      <w:r>
        <w:t xml:space="preserve">Elith, Jane, Steven J. Phillips, Trevor Hastie, Miroslav Dudík, Yung En Chee, and Colin J. Yates. 2011.</w:t>
      </w:r>
      <w:r>
        <w:t xml:space="preserve"> </w:t>
      </w:r>
      <w:r>
        <w:t xml:space="preserve">“A Statistical Explanation of MaxEnt for Ecologists.”</w:t>
      </w:r>
      <w:r>
        <w:t xml:space="preserve"> </w:t>
      </w:r>
      <w:r>
        <w:rPr>
          <w:iCs/>
          <w:i/>
        </w:rPr>
        <w:t xml:space="preserve">Diversity and Distributions</w:t>
      </w:r>
      <w:r>
        <w:t xml:space="preserve"> </w:t>
      </w:r>
      <w:r>
        <w:t xml:space="preserve">17 (1): 43–57.</w:t>
      </w:r>
      <w:r>
        <w:t xml:space="preserve"> </w:t>
      </w:r>
      <w:hyperlink r:id="rId138">
        <w:r>
          <w:rPr>
            <w:rStyle w:val="Hyperlink"/>
          </w:rPr>
          <w:t xml:space="preserve">http://dx.doi.org/10.1111/j.1472-4642.2010.00725.x</w:t>
        </w:r>
      </w:hyperlink>
      <w:r>
        <w:t xml:space="preserve">.</w:t>
      </w:r>
    </w:p>
    <w:bookmarkEnd w:id="139"/>
    <w:bookmarkStart w:id="141" w:name="ref-fautin2010"/>
    <w:p>
      <w:pPr>
        <w:pStyle w:val="Bibliography"/>
      </w:pPr>
      <w:r>
        <w:t xml:space="preserve">Fautin, Daphne, Penelope Dalton, Lewis S. Incze, Jo-Ann C. Leong, Clarence Pautzke, Andrew Rosenberg, Paul Sandifer, et al. 2010.</w:t>
      </w:r>
      <w:r>
        <w:t xml:space="preserve"> </w:t>
      </w:r>
      <w:r>
        <w:t xml:space="preserve">“An Overview of Marine Biodiversity in United States Waters.”</w:t>
      </w:r>
      <w:r>
        <w:t xml:space="preserve"> </w:t>
      </w:r>
      <w:r>
        <w:rPr>
          <w:iCs/>
          <w:i/>
        </w:rPr>
        <w:t xml:space="preserve">PLoS ONE</w:t>
      </w:r>
      <w:r>
        <w:t xml:space="preserve"> </w:t>
      </w:r>
      <w:r>
        <w:t xml:space="preserve">5 (8): e11914.</w:t>
      </w:r>
      <w:r>
        <w:t xml:space="preserve"> </w:t>
      </w:r>
      <w:hyperlink r:id="rId140">
        <w:r>
          <w:rPr>
            <w:rStyle w:val="Hyperlink"/>
          </w:rPr>
          <w:t xml:space="preserve">https://doi.org/10.1371/journal.pone.0011914</w:t>
        </w:r>
      </w:hyperlink>
      <w:r>
        <w:t xml:space="preserve">.</w:t>
      </w:r>
    </w:p>
    <w:bookmarkEnd w:id="141"/>
    <w:bookmarkStart w:id="143" w:name="ref-gorelick2017"/>
    <w:p>
      <w:pPr>
        <w:pStyle w:val="Bibliography"/>
      </w:pPr>
      <w:r>
        <w:t xml:space="preserve">Gorelick, Noel, Matt Hancher, Mike Dixon, Simon Ilyushchenko, David Thau, and Rebecca Moore. 2017.</w:t>
      </w:r>
      <w:r>
        <w:t xml:space="preserve"> </w:t>
      </w:r>
      <w:r>
        <w:t xml:space="preserve">“Google Earth Engine: Planetary-Scale Geospatial Analysis for Everyone.”</w:t>
      </w:r>
      <w:r>
        <w:t xml:space="preserve"> </w:t>
      </w:r>
      <w:r>
        <w:rPr>
          <w:iCs/>
          <w:i/>
        </w:rPr>
        <w:t xml:space="preserve">Remote Sensing of Environment</w:t>
      </w:r>
      <w:r>
        <w:t xml:space="preserve">, Big remotely sensed data: Tools, applications and experiences, 202 (December): 18–27.</w:t>
      </w:r>
      <w:r>
        <w:t xml:space="preserve"> </w:t>
      </w:r>
      <w:hyperlink r:id="rId142">
        <w:r>
          <w:rPr>
            <w:rStyle w:val="Hyperlink"/>
          </w:rPr>
          <w:t xml:space="preserve">https://doi.org/10.1016/j.rse.2017.06.031</w:t>
        </w:r>
      </w:hyperlink>
      <w:r>
        <w:t xml:space="preserve">.</w:t>
      </w:r>
    </w:p>
    <w:bookmarkEnd w:id="143"/>
    <w:bookmarkStart w:id="145" w:name="ref-grassle2000"/>
    <w:p>
      <w:pPr>
        <w:pStyle w:val="Bibliography"/>
      </w:pPr>
      <w:r>
        <w:t xml:space="preserve">Grassle, J. Frederick. 2000.</w:t>
      </w:r>
      <w:r>
        <w:t xml:space="preserve"> </w:t>
      </w:r>
      <w:r>
        <w:t xml:space="preserve">“The Ocean Biogeographic Information System (OBIS): An on-Line, Worldwide Atlas for Accessing, Modeling and Mapping Marine Biological Data in a Multidimensional Geographic Context.”</w:t>
      </w:r>
      <w:r>
        <w:t xml:space="preserve"> </w:t>
      </w:r>
      <w:r>
        <w:rPr>
          <w:iCs/>
          <w:i/>
        </w:rPr>
        <w:t xml:space="preserve">Oceanography</w:t>
      </w:r>
      <w:r>
        <w:t xml:space="preserve"> </w:t>
      </w:r>
      <w:r>
        <w:t xml:space="preserve">13 (3): 5–7.</w:t>
      </w:r>
      <w:r>
        <w:t xml:space="preserve"> </w:t>
      </w:r>
      <w:hyperlink r:id="rId144">
        <w:r>
          <w:rPr>
            <w:rStyle w:val="Hyperlink"/>
          </w:rPr>
          <w:t xml:space="preserve">https://www.jstor.org/stable/43924357</w:t>
        </w:r>
      </w:hyperlink>
      <w:r>
        <w:t xml:space="preserve">.</w:t>
      </w:r>
    </w:p>
    <w:bookmarkEnd w:id="145"/>
    <w:bookmarkStart w:id="147" w:name="ref-halpern2012"/>
    <w:p>
      <w:pPr>
        <w:pStyle w:val="Bibliography"/>
      </w:pPr>
      <w:r>
        <w:t xml:space="preserve">Halpern, Benjamin S., Catherine Longo, Darren Hardy, Karen L. McLeod, Jameal F. Samhouri, Steven K. Katona, Kristin Kleisner, et al. 2012.</w:t>
      </w:r>
      <w:r>
        <w:t xml:space="preserve"> </w:t>
      </w:r>
      <w:r>
        <w:t xml:space="preserve">“An Index to Assess the Health and Benefits of the Global Ocean.”</w:t>
      </w:r>
      <w:r>
        <w:t xml:space="preserve"> </w:t>
      </w:r>
      <w:r>
        <w:rPr>
          <w:iCs/>
          <w:i/>
        </w:rPr>
        <w:t xml:space="preserve">Nature</w:t>
      </w:r>
      <w:r>
        <w:t xml:space="preserve">.</w:t>
      </w:r>
      <w:r>
        <w:t xml:space="preserve"> </w:t>
      </w:r>
      <w:hyperlink r:id="rId146">
        <w:r>
          <w:rPr>
            <w:rStyle w:val="Hyperlink"/>
          </w:rPr>
          <w:t xml:space="preserve">https://doi.org/10.1038/nature11397</w:t>
        </w:r>
      </w:hyperlink>
      <w:r>
        <w:t xml:space="preserve">.</w:t>
      </w:r>
    </w:p>
    <w:bookmarkEnd w:id="147"/>
    <w:bookmarkStart w:id="149" w:name="ref-hartig2023"/>
    <w:p>
      <w:pPr>
        <w:pStyle w:val="Bibliography"/>
      </w:pPr>
      <w:r>
        <w:t xml:space="preserve">Hartig, Florian, Nerea Abrego, Alex Bush, Jonathan M. Chase, Gurutzeta Guillera-Arroita, Mathew A. Leibold, Otso Ovaskainen, et al. 2023.</w:t>
      </w:r>
      <w:r>
        <w:t xml:space="preserve"> </w:t>
      </w:r>
      <w:r>
        <w:t xml:space="preserve">“Novel Community Data in Ecology-Properties and Prospects.”</w:t>
      </w:r>
      <w:r>
        <w:t xml:space="preserve"> </w:t>
      </w:r>
      <w:r>
        <w:rPr>
          <w:iCs/>
          <w:i/>
        </w:rPr>
        <w:t xml:space="preserve">Trends in Ecology &amp; Evolution</w:t>
      </w:r>
      <w:r>
        <w:t xml:space="preserve"> </w:t>
      </w:r>
      <w:r>
        <w:t xml:space="preserve">0 (0).</w:t>
      </w:r>
      <w:r>
        <w:t xml:space="preserve"> </w:t>
      </w:r>
      <w:hyperlink r:id="rId148">
        <w:r>
          <w:rPr>
            <w:rStyle w:val="Hyperlink"/>
          </w:rPr>
          <w:t xml:space="preserve">https://doi.org/10.1016/j.tree.2023.09.017</w:t>
        </w:r>
      </w:hyperlink>
      <w:r>
        <w:t xml:space="preserve">.</w:t>
      </w:r>
    </w:p>
    <w:bookmarkEnd w:id="149"/>
    <w:bookmarkStart w:id="151" w:name="ref-kaschner2006"/>
    <w:p>
      <w:pPr>
        <w:pStyle w:val="Bibliography"/>
      </w:pPr>
      <w:r>
        <w:t xml:space="preserve">Kaschner, K., R. Watson, A. W. Trites, and D. Pauly. 2006.</w:t>
      </w:r>
      <w:r>
        <w:t xml:space="preserve"> </w:t>
      </w:r>
      <w:r>
        <w:t xml:space="preserve">“Mapping World-Wide Distributions of Marine Mammal Species Using a Relative Environmental Suitability (RES) Model.”</w:t>
      </w:r>
      <w:r>
        <w:t xml:space="preserve"> </w:t>
      </w:r>
      <w:r>
        <w:rPr>
          <w:iCs/>
          <w:i/>
        </w:rPr>
        <w:t xml:space="preserve">Marine Ecology Progress Series</w:t>
      </w:r>
      <w:r>
        <w:t xml:space="preserve"> </w:t>
      </w:r>
      <w:r>
        <w:t xml:space="preserve">316 (July): 285–310.</w:t>
      </w:r>
      <w:r>
        <w:t xml:space="preserve"> </w:t>
      </w:r>
      <w:hyperlink r:id="rId150">
        <w:r>
          <w:rPr>
            <w:rStyle w:val="Hyperlink"/>
          </w:rPr>
          <w:t xml:space="preserve">https://doi.org/10.3354/meps316285</w:t>
        </w:r>
      </w:hyperlink>
      <w:r>
        <w:t xml:space="preserve">.</w:t>
      </w:r>
    </w:p>
    <w:bookmarkEnd w:id="151"/>
    <w:bookmarkStart w:id="153" w:name="ref-kass2023"/>
    <w:p>
      <w:pPr>
        <w:pStyle w:val="Bibliography"/>
      </w:pPr>
      <w:r>
        <w:t xml:space="preserve">Kass, Jamie M., Gonzalo E. Pinilla-Buitrago, Andrea Paz, Bethany A. Johnson, Valentina Grisales-Betancur, Sarah I. Meenan, Dean Attali, et al. 2023.</w:t>
      </w:r>
      <w:r>
        <w:t xml:space="preserve"> </w:t>
      </w:r>
      <w:r>
        <w:t xml:space="preserve">“Wallace 2: A Shiny App for Modeling Species Niches and Distributions Redesigned to Facilitate Expansion via Module Contributions.”</w:t>
      </w:r>
      <w:r>
        <w:t xml:space="preserve"> </w:t>
      </w:r>
      <w:r>
        <w:rPr>
          <w:iCs/>
          <w:i/>
        </w:rPr>
        <w:t xml:space="preserve">Ecography</w:t>
      </w:r>
      <w:r>
        <w:t xml:space="preserve"> </w:t>
      </w:r>
      <w:r>
        <w:t xml:space="preserve">2023 (3): e06547.</w:t>
      </w:r>
      <w:r>
        <w:t xml:space="preserve"> </w:t>
      </w:r>
      <w:hyperlink r:id="rId152">
        <w:r>
          <w:rPr>
            <w:rStyle w:val="Hyperlink"/>
          </w:rPr>
          <w:t xml:space="preserve">https://doi.org/10.1111/ecog.06547</w:t>
        </w:r>
      </w:hyperlink>
      <w:r>
        <w:t xml:space="preserve">.</w:t>
      </w:r>
    </w:p>
    <w:bookmarkEnd w:id="153"/>
    <w:bookmarkStart w:id="155" w:name="ref-klein2019"/>
    <w:p>
      <w:pPr>
        <w:pStyle w:val="Bibliography"/>
      </w:pPr>
      <w:r>
        <w:t xml:space="preserve">Klein, Eduardo, Ward Appeltans, Pieter Provoost, Hanieh Saeedi, Abigail Benson, Lenore Bajona, Ana Carolina Peralta, and R. Sky Bristol. 2019.</w:t>
      </w:r>
      <w:r>
        <w:t xml:space="preserve"> </w:t>
      </w:r>
      <w:r>
        <w:t xml:space="preserve">“OBIS Infrastructure, Lessons Learned, and Vision for the Future.”</w:t>
      </w:r>
      <w:r>
        <w:t xml:space="preserve"> </w:t>
      </w:r>
      <w:r>
        <w:rPr>
          <w:iCs/>
          <w:i/>
        </w:rPr>
        <w:t xml:space="preserve">Frontiers in Marine Science</w:t>
      </w:r>
      <w:r>
        <w:t xml:space="preserve"> </w:t>
      </w:r>
      <w:r>
        <w:t xml:space="preserve">6.</w:t>
      </w:r>
      <w:r>
        <w:t xml:space="preserve"> </w:t>
      </w:r>
      <w:hyperlink r:id="rId154">
        <w:r>
          <w:rPr>
            <w:rStyle w:val="Hyperlink"/>
          </w:rPr>
          <w:t xml:space="preserve">https://www.frontiersin.org/articles/10.3389/fmars.2019.00588</w:t>
        </w:r>
      </w:hyperlink>
      <w:r>
        <w:t xml:space="preserve">.</w:t>
      </w:r>
    </w:p>
    <w:bookmarkEnd w:id="155"/>
    <w:bookmarkStart w:id="157" w:name="ref-muller-karger2018"/>
    <w:p>
      <w:pPr>
        <w:pStyle w:val="Bibliography"/>
      </w:pPr>
      <w:r>
        <w:t xml:space="preserve">Muller-Karger, Frank E., Patricia Miloslavich, Nicholas J. Bax, Samantha Simmons, Mark J. Costello, Isabel Sousa Pinto, Gabrielle Canonico, et al. 2018.</w:t>
      </w:r>
      <w:r>
        <w:t xml:space="preserve"> </w:t>
      </w:r>
      <w:r>
        <w:t xml:space="preserve">“Advancing Marine Biological Observations and Data Requirements of the Complementary Essential Ocean Variables (EOVs) and Essential Biodiversity Variables (EBVs) Frameworks.”</w:t>
      </w:r>
      <w:r>
        <w:t xml:space="preserve"> </w:t>
      </w:r>
      <w:r>
        <w:rPr>
          <w:iCs/>
          <w:i/>
        </w:rPr>
        <w:t xml:space="preserve">Frontiers in Marine Science</w:t>
      </w:r>
      <w:r>
        <w:t xml:space="preserve"> </w:t>
      </w:r>
      <w:r>
        <w:t xml:space="preserve">5.</w:t>
      </w:r>
      <w:r>
        <w:t xml:space="preserve"> </w:t>
      </w:r>
      <w:hyperlink r:id="rId156">
        <w:r>
          <w:rPr>
            <w:rStyle w:val="Hyperlink"/>
          </w:rPr>
          <w:t xml:space="preserve">https://doi.org/10.3389/fmars.2018.00211</w:t>
        </w:r>
      </w:hyperlink>
      <w:r>
        <w:t xml:space="preserve">.</w:t>
      </w:r>
    </w:p>
    <w:bookmarkEnd w:id="157"/>
    <w:bookmarkStart w:id="159" w:name="ref-phillips2017"/>
    <w:p>
      <w:pPr>
        <w:pStyle w:val="Bibliography"/>
      </w:pPr>
      <w:r>
        <w:t xml:space="preserve">Phillips, Steven J., Robert P. Anderson, Miroslav Dudík, Robert E. Schapire, and Mary E. Blair. 2017.</w:t>
      </w:r>
      <w:r>
        <w:t xml:space="preserve"> </w:t>
      </w:r>
      <w:r>
        <w:t xml:space="preserve">“Opening the Black Box: An Open-Source Release of Maxent.”</w:t>
      </w:r>
      <w:r>
        <w:t xml:space="preserve"> </w:t>
      </w:r>
      <w:r>
        <w:rPr>
          <w:iCs/>
          <w:i/>
        </w:rPr>
        <w:t xml:space="preserve">Ecography</w:t>
      </w:r>
      <w:r>
        <w:t xml:space="preserve"> </w:t>
      </w:r>
      <w:r>
        <w:t xml:space="preserve">40 (7): 887–93.</w:t>
      </w:r>
      <w:r>
        <w:t xml:space="preserve"> </w:t>
      </w:r>
      <w:hyperlink r:id="rId158">
        <w:r>
          <w:rPr>
            <w:rStyle w:val="Hyperlink"/>
          </w:rPr>
          <w:t xml:space="preserve">https://doi.org/10.1111/ecog.03049</w:t>
        </w:r>
      </w:hyperlink>
      <w:r>
        <w:t xml:space="preserve">.</w:t>
      </w:r>
    </w:p>
    <w:bookmarkEnd w:id="159"/>
    <w:bookmarkStart w:id="161" w:name="ref-phillips2006"/>
    <w:p>
      <w:pPr>
        <w:pStyle w:val="Bibliography"/>
      </w:pPr>
      <w:r>
        <w:t xml:space="preserve">Phillips, Steven J., Robert P. Anderson, and Robert E. Schapire. 2006.</w:t>
      </w:r>
      <w:r>
        <w:t xml:space="preserve"> </w:t>
      </w:r>
      <w:r>
        <w:t xml:space="preserve">“Maximum Entropy Modeling of Species Geographic Distributions.”</w:t>
      </w:r>
      <w:r>
        <w:t xml:space="preserve"> </w:t>
      </w:r>
      <w:r>
        <w:rPr>
          <w:iCs/>
          <w:i/>
        </w:rPr>
        <w:t xml:space="preserve">Ecological Modelling</w:t>
      </w:r>
      <w:r>
        <w:t xml:space="preserve"> </w:t>
      </w:r>
      <w:r>
        <w:t xml:space="preserve">190 (3): 231–59.</w:t>
      </w:r>
      <w:r>
        <w:t xml:space="preserve"> </w:t>
      </w:r>
      <w:hyperlink r:id="rId160">
        <w:r>
          <w:rPr>
            <w:rStyle w:val="Hyperlink"/>
          </w:rPr>
          <w:t xml:space="preserve">https://doi.org/10.1016/j.ecolmodel.2005.03.026</w:t>
        </w:r>
      </w:hyperlink>
      <w:r>
        <w:t xml:space="preserve">.</w:t>
      </w:r>
    </w:p>
    <w:bookmarkEnd w:id="161"/>
    <w:bookmarkStart w:id="163" w:name="ref-phillips2008"/>
    <w:p>
      <w:pPr>
        <w:pStyle w:val="Bibliography"/>
      </w:pPr>
      <w:r>
        <w:t xml:space="preserve">Phillips, Steven J., and Miroslav Dudík. 2008.</w:t>
      </w:r>
      <w:r>
        <w:t xml:space="preserve"> </w:t>
      </w:r>
      <w:r>
        <w:t xml:space="preserve">“Modeling of Species Distributions with Maxent: New Extensions and a Comprehensive Evaluation.”</w:t>
      </w:r>
      <w:r>
        <w:t xml:space="preserve"> </w:t>
      </w:r>
      <w:r>
        <w:rPr>
          <w:iCs/>
          <w:i/>
        </w:rPr>
        <w:t xml:space="preserve">Ecography</w:t>
      </w:r>
      <w:r>
        <w:t xml:space="preserve"> </w:t>
      </w:r>
      <w:r>
        <w:t xml:space="preserve">31 (2): 161–75.</w:t>
      </w:r>
      <w:r>
        <w:t xml:space="preserve"> </w:t>
      </w:r>
      <w:hyperlink r:id="rId162">
        <w:r>
          <w:rPr>
            <w:rStyle w:val="Hyperlink"/>
          </w:rPr>
          <w:t xml:space="preserve">https://doi.org/10.1111/j.0906-7590.2008.5203.x</w:t>
        </w:r>
      </w:hyperlink>
      <w:r>
        <w:t xml:space="preserve">.</w:t>
      </w:r>
    </w:p>
    <w:bookmarkEnd w:id="163"/>
    <w:bookmarkStart w:id="165" w:name="ref-ready2010"/>
    <w:p>
      <w:pPr>
        <w:pStyle w:val="Bibliography"/>
      </w:pPr>
      <w:r>
        <w:t xml:space="preserve">Ready, Jonathan, Kristin Kaschner, Andy B. South, Paul D. Eastwood, Tony Rees, Josephine Rius, Eli Agbayani, Sven Kullander, and Rainer Froese. 2010.</w:t>
      </w:r>
      <w:r>
        <w:t xml:space="preserve"> </w:t>
      </w:r>
      <w:r>
        <w:t xml:space="preserve">“Predicting the Distributions of Marine Organisms at the Global Scale.”</w:t>
      </w:r>
      <w:r>
        <w:t xml:space="preserve"> </w:t>
      </w:r>
      <w:r>
        <w:rPr>
          <w:iCs/>
          <w:i/>
        </w:rPr>
        <w:t xml:space="preserve">Ecological Modelling</w:t>
      </w:r>
      <w:r>
        <w:t xml:space="preserve"> </w:t>
      </w:r>
      <w:r>
        <w:t xml:space="preserve">221 (3): 467–78.</w:t>
      </w:r>
      <w:r>
        <w:t xml:space="preserve"> </w:t>
      </w:r>
      <w:hyperlink r:id="rId164">
        <w:r>
          <w:rPr>
            <w:rStyle w:val="Hyperlink"/>
          </w:rPr>
          <w:t xml:space="preserve">https://doi.org/10.1016/j.ecolmodel.2009.10.025</w:t>
        </w:r>
      </w:hyperlink>
      <w:r>
        <w:t xml:space="preserve">.</w:t>
      </w:r>
    </w:p>
    <w:bookmarkEnd w:id="165"/>
    <w:bookmarkStart w:id="167" w:name="ref-roberts2016"/>
    <w:p>
      <w:pPr>
        <w:pStyle w:val="Bibliography"/>
      </w:pPr>
      <w:r>
        <w:t xml:space="preserve">Roberts, Jason J., Benjamin D. Best, Laura Mannocci, Ei Fujioka, Patrick N. Halpin, Debra L. Palka, Lance P. Garrison, et al. 2016.</w:t>
      </w:r>
      <w:r>
        <w:t xml:space="preserve"> </w:t>
      </w:r>
      <w:r>
        <w:t xml:space="preserve">“Habitat-Based Cetacean Density Models for the u.s. Atlantic and Gulf of Mexico.”</w:t>
      </w:r>
      <w:r>
        <w:t xml:space="preserve"> </w:t>
      </w:r>
      <w:r>
        <w:rPr>
          <w:iCs/>
          <w:i/>
        </w:rPr>
        <w:t xml:space="preserve">Scientific Reports</w:t>
      </w:r>
      <w:r>
        <w:t xml:space="preserve"> </w:t>
      </w:r>
      <w:r>
        <w:t xml:space="preserve">6 (March): 22615.</w:t>
      </w:r>
      <w:r>
        <w:t xml:space="preserve"> </w:t>
      </w:r>
      <w:hyperlink r:id="rId166">
        <w:r>
          <w:rPr>
            <w:rStyle w:val="Hyperlink"/>
          </w:rPr>
          <w:t xml:space="preserve">https://doi.org/10.1038/srep22615</w:t>
        </w:r>
      </w:hyperlink>
      <w:r>
        <w:t xml:space="preserve">.</w:t>
      </w:r>
    </w:p>
    <w:bookmarkEnd w:id="167"/>
    <w:bookmarkStart w:id="169" w:name="ref-aquamapsdata"/>
    <w:p>
      <w:pPr>
        <w:pStyle w:val="Bibliography"/>
      </w:pPr>
      <w:r>
        <w:t xml:space="preserve">Skyttner, Markus. 2020.</w:t>
      </w:r>
      <w:r>
        <w:t xml:space="preserve"> </w:t>
      </w:r>
      <w:r>
        <w:t xml:space="preserve">“Aquamapsdata: Curated Data from AquaMaps.org.”</w:t>
      </w:r>
      <w:r>
        <w:t xml:space="preserve"> </w:t>
      </w:r>
      <w:hyperlink r:id="rId168">
        <w:r>
          <w:rPr>
            <w:rStyle w:val="Hyperlink"/>
          </w:rPr>
          <w:t xml:space="preserve">https://github.com/raquamaps/aquamapsdata</w:t>
        </w:r>
      </w:hyperlink>
      <w:r>
        <w:t xml:space="preserve">.</w:t>
      </w:r>
    </w:p>
    <w:bookmarkEnd w:id="169"/>
    <w:bookmarkStart w:id="171" w:name="ref-tittensor2010"/>
    <w:p>
      <w:pPr>
        <w:pStyle w:val="Bibliography"/>
      </w:pPr>
      <w:r>
        <w:t xml:space="preserve">Tittensor, Derek P., Camilo Mora, Walter Jetz, Heike K. Lotze, Daniel Ricard, Edward Vanden Berghe, and Boris Worm. 2010.</w:t>
      </w:r>
      <w:r>
        <w:t xml:space="preserve"> </w:t>
      </w:r>
      <w:r>
        <w:t xml:space="preserve">“Global Patterns and Predictors of Marine Biodiversity Across Taxa.”</w:t>
      </w:r>
      <w:r>
        <w:t xml:space="preserve"> </w:t>
      </w:r>
      <w:r>
        <w:rPr>
          <w:iCs/>
          <w:i/>
        </w:rPr>
        <w:t xml:space="preserve">Nature</w:t>
      </w:r>
      <w:r>
        <w:t xml:space="preserve"> </w:t>
      </w:r>
      <w:r>
        <w:t xml:space="preserve">466 (7310): 1098–1101.</w:t>
      </w:r>
      <w:r>
        <w:t xml:space="preserve"> </w:t>
      </w:r>
      <w:hyperlink r:id="rId170">
        <w:r>
          <w:rPr>
            <w:rStyle w:val="Hyperlink"/>
          </w:rPr>
          <w:t xml:space="preserve">https://doi.org/10.1038/nature09329</w:t>
        </w:r>
      </w:hyperlink>
      <w:r>
        <w:t xml:space="preserve">.</w:t>
      </w:r>
    </w:p>
    <w:bookmarkEnd w:id="171"/>
    <w:bookmarkStart w:id="173" w:name="ref-visalli2020"/>
    <w:p>
      <w:pPr>
        <w:pStyle w:val="Bibliography"/>
      </w:pPr>
      <w:r>
        <w:t xml:space="preserve">Visalli, Morgan E., Benjamin D. Best, Reniel B. Cabral, William W. L. Cheung, Nichola A. Clark, Cristina Garilao, Kristin Kaschner, et al. 2020.</w:t>
      </w:r>
      <w:r>
        <w:t xml:space="preserve"> </w:t>
      </w:r>
      <w:r>
        <w:t xml:space="preserve">“Data-Driven Approach for Highlighting Priority Areas for Protection in Marine Areas Beyond National Jurisdiction.”</w:t>
      </w:r>
      <w:r>
        <w:t xml:space="preserve"> </w:t>
      </w:r>
      <w:r>
        <w:rPr>
          <w:iCs/>
          <w:i/>
        </w:rPr>
        <w:t xml:space="preserve">Marine Policy</w:t>
      </w:r>
      <w:r>
        <w:t xml:space="preserve">, March, 103927.</w:t>
      </w:r>
      <w:r>
        <w:t xml:space="preserve"> </w:t>
      </w:r>
      <w:hyperlink r:id="rId172">
        <w:r>
          <w:rPr>
            <w:rStyle w:val="Hyperlink"/>
          </w:rPr>
          <w:t xml:space="preserve">https://doi.org/10.1016/j.marpol.2020.103927</w:t>
        </w:r>
      </w:hyperlink>
      <w:r>
        <w:t xml:space="preserve">.</w:t>
      </w:r>
    </w:p>
    <w:bookmarkEnd w:id="173"/>
    <w:bookmarkStart w:id="175" w:name="ref-zurell2020"/>
    <w:p>
      <w:pPr>
        <w:pStyle w:val="Bibliography"/>
      </w:pPr>
      <w:r>
        <w:t xml:space="preserve">Zurell, Damaris, Janet Franklin, Christian König, Phil J. Bouchet, Carsten F. Dormann, Jane Elith, Guillermo Fandos, et al. 2020.</w:t>
      </w:r>
      <w:r>
        <w:t xml:space="preserve"> </w:t>
      </w:r>
      <w:r>
        <w:t xml:space="preserve">“A Standard Protocol for Reporting Species Distribution Models.”</w:t>
      </w:r>
      <w:r>
        <w:t xml:space="preserve"> </w:t>
      </w:r>
      <w:r>
        <w:rPr>
          <w:iCs/>
          <w:i/>
        </w:rPr>
        <w:t xml:space="preserve">Ecography</w:t>
      </w:r>
      <w:r>
        <w:t xml:space="preserve"> </w:t>
      </w:r>
      <w:r>
        <w:t xml:space="preserve">43 (9): 1261–77.</w:t>
      </w:r>
      <w:r>
        <w:t xml:space="preserve"> </w:t>
      </w:r>
      <w:hyperlink r:id="rId174">
        <w:r>
          <w:rPr>
            <w:rStyle w:val="Hyperlink"/>
          </w:rPr>
          <w:t xml:space="preserve">https://doi.org/10.1111/ecog.04960</w:t>
        </w:r>
      </w:hyperlink>
      <w:r>
        <w:t xml:space="preserve">.</w:t>
      </w:r>
    </w:p>
    <w:bookmarkEnd w:id="175"/>
    <w:bookmarkEnd w:id="176"/>
    <w:bookmarkEnd w:id="177"/>
    <w:bookmarkStart w:id="179" w:name="glossary"/>
    <w:p>
      <w:pPr>
        <w:pStyle w:val="Heading1"/>
      </w:pPr>
      <w:r>
        <w:t xml:space="preserve">Glossary</w:t>
      </w:r>
    </w:p>
    <w:p>
      <w:pPr>
        <w:pStyle w:val="SourceCode"/>
      </w:pPr>
      <w:r>
        <w:rPr>
          <w:rStyle w:val="NormalTok"/>
        </w:rPr>
        <w:t xml:space="preserve">glossary</w:t>
      </w:r>
      <w:r>
        <w:rPr>
          <w:rStyle w:val="SpecialCharTok"/>
        </w:rPr>
        <w:t xml:space="preserve">::</w:t>
      </w:r>
      <w:r>
        <w:rPr>
          <w:rStyle w:val="FunctionTok"/>
        </w:rPr>
        <w:t xml:space="preserve">glossary_table</w:t>
      </w:r>
      <w:r>
        <w:rPr>
          <w:rStyle w:val="NormalTok"/>
        </w:rPr>
        <w:t xml:space="preserve">(</w:t>
      </w:r>
      <w:r>
        <w:rPr>
          <w:rStyle w:val="AttributeTok"/>
        </w:rPr>
        <w:t xml:space="preserve">as_kable=</w:t>
      </w:r>
      <w:r>
        <w:rPr>
          <w:rStyle w:val="NormalTok"/>
        </w:rPr>
        <w:t xml:space="preserve">F) </w:t>
      </w:r>
      <w:r>
        <w:rPr>
          <w:rStyle w:val="SpecialCharTok"/>
        </w:rPr>
        <w:t xml:space="preserve">|&gt;</w:t>
      </w:r>
      <w:r>
        <w:rPr>
          <w:rStyle w:val="NormalTok"/>
        </w:rPr>
        <w:t xml:space="preserve"> </w:t>
      </w:r>
      <w:r>
        <w:br/>
      </w:r>
      <w:r>
        <w:rPr>
          <w:rStyle w:val="NormalTok"/>
        </w:rPr>
        <w:t xml:space="preserve">  knitr</w:t>
      </w:r>
      <w:r>
        <w:rPr>
          <w:rStyle w:val="SpecialCharTok"/>
        </w:rPr>
        <w:t xml:space="preserve">::</w:t>
      </w:r>
      <w:r>
        <w:rPr>
          <w:rStyle w:val="FunctionTok"/>
        </w:rPr>
        <w:t xml:space="preserve">kable</w:t>
      </w:r>
      <w:r>
        <w:rPr>
          <w:rStyle w:val="NormalTok"/>
        </w:rPr>
        <w:t xml:space="preserve">(</w:t>
      </w:r>
      <w:r>
        <w:rPr>
          <w:rStyle w:val="StringTok"/>
        </w:rPr>
        <w:t xml:space="preserve">"pipe"</w:t>
      </w:r>
      <w:r>
        <w:rPr>
          <w:rStyle w:val="NormalTok"/>
        </w:rPr>
        <w:t xml:space="preserve">, </w:t>
      </w:r>
      <w:r>
        <w:rPr>
          <w:rStyle w:val="AttributeTok"/>
        </w:rPr>
        <w:t xml:space="preserve">escape =</w:t>
      </w:r>
      <w:r>
        <w:rPr>
          <w:rStyle w:val="NormalTok"/>
        </w:rPr>
        <w:t xml:space="preserve"> F, </w:t>
      </w:r>
      <w:r>
        <w:rPr>
          <w:rStyle w:val="AttributeTok"/>
        </w:rPr>
        <w:t xml:space="preserve">row.names =</w:t>
      </w:r>
      <w:r>
        <w:rPr>
          <w:rStyle w:val="NormalTok"/>
        </w:rPr>
        <w:t xml:space="preserve"> F)</w:t>
      </w:r>
    </w:p>
    <w:tbl>
      <w:tblPr>
        <w:tblStyle w:val="Table"/>
        <w:tblW w:type="pct" w:w="5000"/>
        <w:tblLook w:firstRow="1" w:lastRow="0" w:firstColumn="0" w:lastColumn="0" w:noHBand="0" w:noVBand="0" w:val="0020"/>
        <w:jc w:val="start"/>
        <w:tblLayout w:type="fixed"/>
      </w:tblPr>
      <w:tblGrid>
        <w:gridCol w:w="618"/>
        <w:gridCol w:w="7301"/>
      </w:tblGrid>
      <w:tr>
        <w:trPr>
          <w:tblHeader w:val="true"/>
        </w:trPr>
        <w:tc>
          <w:tcPr/>
          <w:p>
            <w:pPr>
              <w:pStyle w:val="Compact"/>
              <w:jc w:val="left"/>
            </w:pPr>
            <w:r>
              <w:t xml:space="preserve">term</w:t>
            </w:r>
          </w:p>
        </w:tc>
        <w:tc>
          <w:tcPr/>
          <w:p>
            <w:pPr>
              <w:pStyle w:val="Compact"/>
              <w:jc w:val="left"/>
            </w:pPr>
            <w:r>
              <w:t xml:space="preserve">definition</w:t>
            </w:r>
          </w:p>
        </w:tc>
      </w:tr>
      <w:tr>
        <w:tc>
          <w:tcPr/>
          <w:p>
            <w:pPr>
              <w:pStyle w:val="Compact"/>
              <w:jc w:val="left"/>
            </w:pPr>
            <w:r>
              <w:t xml:space="preserve">MBON</w:t>
            </w:r>
          </w:p>
        </w:tc>
        <w:tc>
          <w:tcPr/>
          <w:p>
            <w:pPr>
              <w:pStyle w:val="Compact"/>
              <w:jc w:val="left"/>
            </w:pPr>
            <w:r>
              <w:t xml:space="preserve">Marine Biodiversity Observation Network; see</w:t>
            </w:r>
            <w:r>
              <w:t xml:space="preserve"> </w:t>
            </w:r>
            <w:hyperlink r:id="rId178">
              <w:r>
                <w:rPr>
                  <w:rStyle w:val="Hyperlink"/>
                </w:rPr>
                <w:t xml:space="preserve">MarineBON.org</w:t>
              </w:r>
            </w:hyperlink>
          </w:p>
        </w:tc>
      </w:tr>
    </w:tbl>
    <w:bookmarkEnd w:id="179"/>
    <w:bookmarkStart w:id="185" w:name="aquamaps-downscaled"/>
    <w:p>
      <w:pPr>
        <w:pStyle w:val="Heading1"/>
      </w:pPr>
      <w:r>
        <w:t xml:space="preserve">AquaMaps Downscaled</w:t>
      </w:r>
    </w:p>
    <w:p>
      <w:pPr>
        <w:pStyle w:val="FirstParagraph"/>
      </w:pPr>
      <w:r>
        <w:t xml:space="preserve">Downscale AquaMaps from 1/2º to GEBCO 1/240º using Google Earth Engine and Shiny.</w:t>
      </w:r>
    </w:p>
    <w:p>
      <w:pPr>
        <w:numPr>
          <w:ilvl w:val="0"/>
          <w:numId w:val="1028"/>
        </w:numPr>
      </w:pPr>
      <w:hyperlink r:id="rId180">
        <w:r>
          <w:rPr>
            <w:rStyle w:val="Hyperlink"/>
          </w:rPr>
          <w:t xml:space="preserve"> </w:t>
        </w:r>
        <w:r>
          <w:rPr>
            <w:rStyle w:val="Hyperlink"/>
          </w:rPr>
          <w:t xml:space="preserve">website</w:t>
        </w:r>
      </w:hyperlink>
    </w:p>
    <w:p>
      <w:pPr>
        <w:numPr>
          <w:ilvl w:val="0"/>
          <w:numId w:val="1028"/>
        </w:numPr>
      </w:pPr>
      <w:hyperlink r:id="rId181">
        <w:r>
          <w:rPr>
            <w:rStyle w:val="Hyperlink"/>
          </w:rPr>
          <w:t xml:space="preserve"> </w:t>
        </w:r>
        <w:r>
          <w:rPr>
            <w:rStyle w:val="VerbatimChar"/>
          </w:rPr>
          <w:t xml:space="preserve">code</w:t>
        </w:r>
      </w:hyperlink>
    </w:p>
    <w:p>
      <w:pPr>
        <w:pStyle w:val="FirstParagraph"/>
      </w:pPr>
      <w:r>
        <w:drawing>
          <wp:inline>
            <wp:extent cx="5334000" cy="2760009"/>
            <wp:effectExtent b="0" l="0" r="0" t="0"/>
            <wp:docPr descr="" title="" id="183" name="Picture"/>
            <a:graphic>
              <a:graphicData uri="http://schemas.openxmlformats.org/drawingml/2006/picture">
                <pic:pic>
                  <pic:nvPicPr>
                    <pic:cNvPr descr="explorations/../figures/explorations/aquamaps-downscaled.png" id="184" name="Picture"/>
                    <pic:cNvPicPr>
                      <a:picLocks noChangeArrowheads="1" noChangeAspect="1"/>
                    </pic:cNvPicPr>
                  </pic:nvPicPr>
                  <pic:blipFill>
                    <a:blip r:embed="rId182"/>
                    <a:stretch>
                      <a:fillRect/>
                    </a:stretch>
                  </pic:blipFill>
                  <pic:spPr bwMode="auto">
                    <a:xfrm>
                      <a:off x="0" y="0"/>
                      <a:ext cx="5334000" cy="2760009"/>
                    </a:xfrm>
                    <a:prstGeom prst="rect">
                      <a:avLst/>
                    </a:prstGeom>
                    <a:noFill/>
                    <a:ln w="9525">
                      <a:noFill/>
                      <a:headEnd/>
                      <a:tailEnd/>
                    </a:ln>
                  </pic:spPr>
                </pic:pic>
              </a:graphicData>
            </a:graphic>
          </wp:inline>
        </w:drawing>
      </w:r>
    </w:p>
    <w:bookmarkEnd w:id="185"/>
    <w:bookmarkStart w:id="191" w:name="aquamaps-envelope"/>
    <w:p>
      <w:pPr>
        <w:pStyle w:val="Heading1"/>
      </w:pPr>
      <w:r>
        <w:t xml:space="preserve">AquaMaps Envelope</w:t>
      </w:r>
    </w:p>
    <w:p>
      <w:pPr>
        <w:pStyle w:val="FirstParagraph"/>
      </w:pPr>
      <w:r>
        <w:t xml:space="preserve">Extract and plot AquaMaps environmental envelope, ramp rasters, using R.</w:t>
      </w:r>
    </w:p>
    <w:p>
      <w:pPr>
        <w:numPr>
          <w:ilvl w:val="0"/>
          <w:numId w:val="1029"/>
        </w:numPr>
      </w:pPr>
      <w:hyperlink r:id="rId186">
        <w:r>
          <w:rPr>
            <w:rStyle w:val="Hyperlink"/>
          </w:rPr>
          <w:t xml:space="preserve"> </w:t>
        </w:r>
        <w:r>
          <w:rPr>
            <w:rStyle w:val="Hyperlink"/>
          </w:rPr>
          <w:t xml:space="preserve">website</w:t>
        </w:r>
      </w:hyperlink>
    </w:p>
    <w:p>
      <w:pPr>
        <w:numPr>
          <w:ilvl w:val="0"/>
          <w:numId w:val="1029"/>
        </w:numPr>
      </w:pPr>
      <w:hyperlink r:id="rId187">
        <w:r>
          <w:rPr>
            <w:rStyle w:val="Hyperlink"/>
          </w:rPr>
          <w:t xml:space="preserve"> </w:t>
        </w:r>
        <w:r>
          <w:rPr>
            <w:rStyle w:val="VerbatimChar"/>
          </w:rPr>
          <w:t xml:space="preserve">code</w:t>
        </w:r>
      </w:hyperlink>
    </w:p>
    <w:p>
      <w:pPr>
        <w:pStyle w:val="FirstParagraph"/>
      </w:pPr>
      <w:r>
        <w:drawing>
          <wp:inline>
            <wp:extent cx="5334000" cy="3810000"/>
            <wp:effectExtent b="0" l="0" r="0" t="0"/>
            <wp:docPr descr="" title="" id="189" name="Picture"/>
            <a:graphic>
              <a:graphicData uri="http://schemas.openxmlformats.org/drawingml/2006/picture">
                <pic:pic>
                  <pic:nvPicPr>
                    <pic:cNvPr descr="https://marinebon.github.io/aquamaps-downscaled/index_files/figure-html/fig-blue_whale_env_yes-1.png" id="190" name="Picture"/>
                    <pic:cNvPicPr>
                      <a:picLocks noChangeArrowheads="1" noChangeAspect="1"/>
                    </pic:cNvPicPr>
                  </pic:nvPicPr>
                  <pic:blipFill>
                    <a:blip r:embed="rId188"/>
                    <a:stretch>
                      <a:fillRect/>
                    </a:stretch>
                  </pic:blipFill>
                  <pic:spPr bwMode="auto">
                    <a:xfrm>
                      <a:off x="0" y="0"/>
                      <a:ext cx="5334000" cy="3810000"/>
                    </a:xfrm>
                    <a:prstGeom prst="rect">
                      <a:avLst/>
                    </a:prstGeom>
                    <a:noFill/>
                    <a:ln w="9525">
                      <a:noFill/>
                      <a:headEnd/>
                      <a:tailEnd/>
                    </a:ln>
                  </pic:spPr>
                </pic:pic>
              </a:graphicData>
            </a:graphic>
          </wp:inline>
        </w:drawing>
      </w:r>
    </w:p>
    <w:bookmarkEnd w:id="191"/>
    <w:bookmarkStart w:id="198" w:name="aquamaps-treemap"/>
    <w:p>
      <w:pPr>
        <w:pStyle w:val="Heading1"/>
      </w:pPr>
      <w:r>
        <w:t xml:space="preserve">AquaMaps Treemap</w:t>
      </w:r>
    </w:p>
    <w:p>
      <w:pPr>
        <w:pStyle w:val="FirstParagraph"/>
      </w:pPr>
      <w:r>
        <w:t xml:space="preserve">Select a Sanctuary or Draw a polygon to filter to 1/2º AquaMaps species and view as Table or treemap Plot for interactive taxonomic composition.</w:t>
      </w:r>
    </w:p>
    <w:p>
      <w:pPr>
        <w:numPr>
          <w:ilvl w:val="0"/>
          <w:numId w:val="1030"/>
        </w:numPr>
      </w:pPr>
      <w:hyperlink r:id="rId192">
        <w:r>
          <w:rPr>
            <w:rStyle w:val="Hyperlink"/>
          </w:rPr>
          <w:t xml:space="preserve"> </w:t>
        </w:r>
        <w:r>
          <w:rPr>
            <w:rStyle w:val="Hyperlink"/>
          </w:rPr>
          <w:t xml:space="preserve">website</w:t>
        </w:r>
      </w:hyperlink>
    </w:p>
    <w:p>
      <w:pPr>
        <w:numPr>
          <w:ilvl w:val="0"/>
          <w:numId w:val="1030"/>
        </w:numPr>
      </w:pPr>
      <w:hyperlink r:id="rId193">
        <w:r>
          <w:rPr>
            <w:rStyle w:val="Hyperlink"/>
          </w:rPr>
          <w:t xml:space="preserve"> </w:t>
        </w:r>
        <w:r>
          <w:rPr>
            <w:rStyle w:val="VerbatimChar"/>
          </w:rPr>
          <w:t xml:space="preserve">code</w:t>
        </w:r>
      </w:hyperlink>
    </w:p>
    <w:p>
      <w:pPr>
        <w:pStyle w:val="FirstParagraph"/>
      </w:pPr>
      <w:r>
        <w:drawing>
          <wp:inline>
            <wp:extent cx="5334000" cy="3613945"/>
            <wp:effectExtent b="0" l="0" r="0" t="0"/>
            <wp:docPr descr="" title="" id="195" name="Picture"/>
            <a:graphic>
              <a:graphicData uri="http://schemas.openxmlformats.org/drawingml/2006/picture">
                <pic:pic>
                  <pic:nvPicPr>
                    <pic:cNvPr descr="explorations/../figures/explorations/am-tree.png" id="196" name="Picture"/>
                    <pic:cNvPicPr>
                      <a:picLocks noChangeArrowheads="1" noChangeAspect="1"/>
                    </pic:cNvPicPr>
                  </pic:nvPicPr>
                  <pic:blipFill>
                    <a:blip r:embed="rId194"/>
                    <a:stretch>
                      <a:fillRect/>
                    </a:stretch>
                  </pic:blipFill>
                  <pic:spPr bwMode="auto">
                    <a:xfrm>
                      <a:off x="0" y="0"/>
                      <a:ext cx="5334000" cy="3613945"/>
                    </a:xfrm>
                    <a:prstGeom prst="rect">
                      <a:avLst/>
                    </a:prstGeom>
                    <a:noFill/>
                    <a:ln w="9525">
                      <a:noFill/>
                      <a:headEnd/>
                      <a:tailEnd/>
                    </a:ln>
                  </pic:spPr>
                </pic:pic>
              </a:graphicData>
            </a:graphic>
          </wp:inline>
        </w:drawing>
      </w:r>
    </w:p>
    <w:p>
      <w:pPr>
        <w:pStyle w:val="BodyText"/>
      </w:pPr>
      <w:r>
        <w:t xml:space="preserve">This app uses</w:t>
      </w:r>
      <w:r>
        <w:t xml:space="preserve"> </w:t>
      </w:r>
      <w:hyperlink r:id="rId197">
        <w:r>
          <w:rPr>
            <w:rStyle w:val="VerbatimChar"/>
          </w:rPr>
          <w:t xml:space="preserve">aquamapsdata</w:t>
        </w:r>
      </w:hyperlink>
      <w:r>
        <w:t xml:space="preserve"> </w:t>
      </w:r>
      <w:r>
        <w:t xml:space="preserve">after translating from</w:t>
      </w:r>
      <w:r>
        <w:t xml:space="preserve"> </w:t>
      </w:r>
      <w:r>
        <w:rPr>
          <w:rStyle w:val="VerbatimChar"/>
        </w:rPr>
        <w:t xml:space="preserve">sqlite</w:t>
      </w:r>
      <w:r>
        <w:t xml:space="preserve"> </w:t>
      </w:r>
      <w:r>
        <w:t xml:space="preserve">(slow) and</w:t>
      </w:r>
      <w:r>
        <w:t xml:space="preserve"> </w:t>
      </w:r>
      <w:r>
        <w:rPr>
          <w:rStyle w:val="VerbatimChar"/>
        </w:rPr>
        <w:t xml:space="preserve">raster</w:t>
      </w:r>
      <w:r>
        <w:t xml:space="preserve"> </w:t>
      </w:r>
      <w:r>
        <w:t xml:space="preserve">(deprecated) R functions to</w:t>
      </w:r>
      <w:r>
        <w:t xml:space="preserve"> </w:t>
      </w:r>
      <w:r>
        <w:rPr>
          <w:rStyle w:val="VerbatimChar"/>
        </w:rPr>
        <w:t xml:space="preserve">duckdb</w:t>
      </w:r>
      <w:r>
        <w:t xml:space="preserve"> </w:t>
      </w:r>
      <w:r>
        <w:t xml:space="preserve">(fast) and</w:t>
      </w:r>
      <w:r>
        <w:t xml:space="preserve"> </w:t>
      </w:r>
      <w:r>
        <w:rPr>
          <w:rStyle w:val="VerbatimChar"/>
        </w:rPr>
        <w:t xml:space="preserve">terra</w:t>
      </w:r>
      <w:r>
        <w:t xml:space="preserve"> </w:t>
      </w:r>
      <w:r>
        <w:t xml:space="preserve">(superceding) R functions. We can use these distributional data to calculate place-based indicators with anticipation of the distributional data getting improved upon in 2024 by AquaX and others.</w:t>
      </w:r>
    </w:p>
    <w:bookmarkEnd w:id="198"/>
    <w:bookmarkStart w:id="204" w:name="sdm-predicts"/>
    <w:p>
      <w:pPr>
        <w:pStyle w:val="Heading1"/>
      </w:pPr>
      <w:r>
        <w:t xml:space="preserve">SDM</w:t>
      </w:r>
      <w:r>
        <w:t xml:space="preserve"> </w:t>
      </w:r>
      <w:r>
        <w:rPr>
          <w:rStyle w:val="VerbatimChar"/>
        </w:rPr>
        <w:t xml:space="preserve">predicts</w:t>
      </w:r>
    </w:p>
    <w:p>
      <w:pPr>
        <w:pStyle w:val="FirstParagraph"/>
      </w:pPr>
      <w:r>
        <w:t xml:space="preserve">Predict species distribution of N Atlantic right whale using OBIS occcurrences and</w:t>
      </w:r>
      <w:r>
        <w:t xml:space="preserve"> </w:t>
      </w:r>
      <w:r>
        <w:rPr>
          <w:rStyle w:val="VerbatimChar"/>
        </w:rPr>
        <w:t xml:space="preserve">predicts</w:t>
      </w:r>
      <w:r>
        <w:t xml:space="preserve"> </w:t>
      </w:r>
      <w:r>
        <w:t xml:space="preserve">package in R.</w:t>
      </w:r>
    </w:p>
    <w:p>
      <w:pPr>
        <w:numPr>
          <w:ilvl w:val="0"/>
          <w:numId w:val="1031"/>
        </w:numPr>
      </w:pPr>
      <w:hyperlink r:id="rId199">
        <w:r>
          <w:rPr>
            <w:rStyle w:val="Hyperlink"/>
          </w:rPr>
          <w:t xml:space="preserve"> </w:t>
        </w:r>
        <w:r>
          <w:rPr>
            <w:rStyle w:val="Hyperlink"/>
          </w:rPr>
          <w:t xml:space="preserve">website</w:t>
        </w:r>
      </w:hyperlink>
    </w:p>
    <w:p>
      <w:pPr>
        <w:numPr>
          <w:ilvl w:val="0"/>
          <w:numId w:val="1031"/>
        </w:numPr>
      </w:pPr>
      <w:hyperlink r:id="rId200">
        <w:r>
          <w:rPr>
            <w:rStyle w:val="Hyperlink"/>
          </w:rPr>
          <w:t xml:space="preserve"> </w:t>
        </w:r>
        <w:r>
          <w:rPr>
            <w:rStyle w:val="VerbatimChar"/>
          </w:rPr>
          <w:t xml:space="preserve">code</w:t>
        </w:r>
      </w:hyperlink>
    </w:p>
    <w:p>
      <w:pPr>
        <w:pStyle w:val="FirstParagraph"/>
      </w:pPr>
      <w:r>
        <w:drawing>
          <wp:inline>
            <wp:extent cx="5334000" cy="2975867"/>
            <wp:effectExtent b="0" l="0" r="0" t="0"/>
            <wp:docPr descr="" title="" id="202" name="Picture"/>
            <a:graphic>
              <a:graphicData uri="http://schemas.openxmlformats.org/drawingml/2006/picture">
                <pic:pic>
                  <pic:nvPicPr>
                    <pic:cNvPr descr="explorations/../figures/explorations/sdm-1_predicts.png" id="203" name="Picture"/>
                    <pic:cNvPicPr>
                      <a:picLocks noChangeArrowheads="1" noChangeAspect="1"/>
                    </pic:cNvPicPr>
                  </pic:nvPicPr>
                  <pic:blipFill>
                    <a:blip r:embed="rId201"/>
                    <a:stretch>
                      <a:fillRect/>
                    </a:stretch>
                  </pic:blipFill>
                  <pic:spPr bwMode="auto">
                    <a:xfrm>
                      <a:off x="0" y="0"/>
                      <a:ext cx="5334000" cy="2975867"/>
                    </a:xfrm>
                    <a:prstGeom prst="rect">
                      <a:avLst/>
                    </a:prstGeom>
                    <a:noFill/>
                    <a:ln w="9525">
                      <a:noFill/>
                      <a:headEnd/>
                      <a:tailEnd/>
                    </a:ln>
                  </pic:spPr>
                </pic:pic>
              </a:graphicData>
            </a:graphic>
          </wp:inline>
        </w:drawing>
      </w:r>
    </w:p>
    <w:bookmarkEnd w:id="204"/>
    <w:bookmarkStart w:id="210" w:name="obis-top-classes"/>
    <w:p>
      <w:pPr>
        <w:pStyle w:val="Heading1"/>
      </w:pPr>
      <w:r>
        <w:t xml:space="preserve">OBIS Top Classes</w:t>
      </w:r>
    </w:p>
    <w:p>
      <w:pPr>
        <w:pStyle w:val="FirstParagraph"/>
      </w:pPr>
      <w:r>
        <w:t xml:space="preserve">Extract the species with the most numerous observations by unique Class from the OBIS parquet archive in R.</w:t>
      </w:r>
    </w:p>
    <w:p>
      <w:pPr>
        <w:numPr>
          <w:ilvl w:val="0"/>
          <w:numId w:val="1032"/>
        </w:numPr>
      </w:pPr>
      <w:hyperlink r:id="rId205">
        <w:r>
          <w:rPr>
            <w:rStyle w:val="Hyperlink"/>
          </w:rPr>
          <w:t xml:space="preserve"> </w:t>
        </w:r>
        <w:r>
          <w:rPr>
            <w:rStyle w:val="Hyperlink"/>
          </w:rPr>
          <w:t xml:space="preserve">website</w:t>
        </w:r>
      </w:hyperlink>
    </w:p>
    <w:p>
      <w:pPr>
        <w:numPr>
          <w:ilvl w:val="0"/>
          <w:numId w:val="1032"/>
        </w:numPr>
      </w:pPr>
      <w:hyperlink r:id="rId206">
        <w:r>
          <w:rPr>
            <w:rStyle w:val="Hyperlink"/>
          </w:rPr>
          <w:t xml:space="preserve"> </w:t>
        </w:r>
        <w:r>
          <w:rPr>
            <w:rStyle w:val="VerbatimChar"/>
          </w:rPr>
          <w:t xml:space="preserve">code</w:t>
        </w:r>
      </w:hyperlink>
    </w:p>
    <w:p>
      <w:pPr>
        <w:pStyle w:val="FirstParagraph"/>
      </w:pPr>
      <w:r>
        <w:drawing>
          <wp:inline>
            <wp:extent cx="5334000" cy="3759000"/>
            <wp:effectExtent b="0" l="0" r="0" t="0"/>
            <wp:docPr descr="" title="" id="208" name="Picture"/>
            <a:graphic>
              <a:graphicData uri="http://schemas.openxmlformats.org/drawingml/2006/picture">
                <pic:pic>
                  <pic:nvPicPr>
                    <pic:cNvPr descr="explorations/../figures/explorations/obis-top-spp-by-class.png" id="209" name="Picture"/>
                    <pic:cNvPicPr>
                      <a:picLocks noChangeArrowheads="1" noChangeAspect="1"/>
                    </pic:cNvPicPr>
                  </pic:nvPicPr>
                  <pic:blipFill>
                    <a:blip r:embed="rId207"/>
                    <a:stretch>
                      <a:fillRect/>
                    </a:stretch>
                  </pic:blipFill>
                  <pic:spPr bwMode="auto">
                    <a:xfrm>
                      <a:off x="0" y="0"/>
                      <a:ext cx="5334000" cy="3759000"/>
                    </a:xfrm>
                    <a:prstGeom prst="rect">
                      <a:avLst/>
                    </a:prstGeom>
                    <a:noFill/>
                    <a:ln w="9525">
                      <a:noFill/>
                      <a:headEnd/>
                      <a:tailEnd/>
                    </a:ln>
                  </pic:spPr>
                </pic:pic>
              </a:graphicData>
            </a:graphic>
          </wp:inline>
        </w:drawing>
      </w:r>
    </w:p>
    <w:bookmarkEnd w:id="210"/>
    <w:bookmarkStart w:id="223" w:name="software"/>
    <w:p>
      <w:pPr>
        <w:pStyle w:val="Heading1"/>
      </w:pPr>
      <w:r>
        <w:t xml:space="preserve">Software</w:t>
      </w:r>
    </w:p>
    <w:bookmarkStart w:id="217" w:name="r"/>
    <w:p>
      <w:pPr>
        <w:pStyle w:val="Heading2"/>
      </w:pPr>
      <w:r>
        <w:t xml:space="preserve">R</w:t>
      </w:r>
    </w:p>
    <w:p>
      <w:pPr>
        <w:pStyle w:val="FirstParagraph"/>
      </w:pPr>
      <w:r>
        <w:t xml:space="preserve">Most packages have not yet migrated from using the deprecated</w:t>
      </w:r>
      <w:r>
        <w:t xml:space="preserve"> </w:t>
      </w:r>
      <w:r>
        <w:rPr>
          <w:rStyle w:val="VerbatimChar"/>
        </w:rPr>
        <w:t xml:space="preserve">raster</w:t>
      </w:r>
      <w:r>
        <w:t xml:space="preserve"> </w:t>
      </w:r>
      <w:r>
        <w:t xml:space="preserve">R package to the new</w:t>
      </w:r>
      <w:r>
        <w:t xml:space="preserve"> </w:t>
      </w:r>
      <w:r>
        <w:rPr>
          <w:rStyle w:val="VerbatimChar"/>
        </w:rPr>
        <w:t xml:space="preserve">terra</w:t>
      </w:r>
      <w:r>
        <w:t xml:space="preserve"> </w:t>
      </w:r>
      <w:r>
        <w:t xml:space="preserve">package, except for</w:t>
      </w:r>
      <w:r>
        <w:t xml:space="preserve"> </w:t>
      </w:r>
      <w:hyperlink r:id="rId95">
        <w:r>
          <w:rPr>
            <w:rStyle w:val="VerbatimChar"/>
          </w:rPr>
          <w:t xml:space="preserve">biomod2</w:t>
        </w:r>
      </w:hyperlink>
      <w:r>
        <w:t xml:space="preserve"> </w:t>
      </w:r>
      <w:r>
        <w:t xml:space="preserve">(ref?).</w:t>
      </w:r>
    </w:p>
    <w:p>
      <w:pPr>
        <w:numPr>
          <w:ilvl w:val="0"/>
          <w:numId w:val="1033"/>
        </w:numPr>
      </w:pPr>
      <w:hyperlink r:id="rId95">
        <w:r>
          <w:rPr>
            <w:rStyle w:val="VerbatimChar"/>
          </w:rPr>
          <w:t xml:space="preserve">biomod2</w:t>
        </w:r>
      </w:hyperlink>
      <w:r>
        <w:br/>
      </w:r>
      <w:r>
        <w:rPr>
          <w:iCs/>
          <w:i/>
        </w:rPr>
        <w:t xml:space="preserve">Species distribution modeling, calibration and evaluation, ensemble modeling</w:t>
      </w:r>
      <w:r>
        <w:br/>
      </w:r>
      <w:r>
        <w:drawing>
          <wp:inline>
            <wp:extent cx="5334000" cy="2075693"/>
            <wp:effectExtent b="0" l="0" r="0" t="0"/>
            <wp:docPr descr="Graphical overview of `biomod2` functions for data formatting, single SDMs, ensemble methods and visualization. Source: [`biomod2`](https://biomodhub.github.io/biomod2/)" title="" id="211" name="Picture"/>
            <a:graphic>
              <a:graphicData uri="http://schemas.openxmlformats.org/drawingml/2006/picture">
                <pic:pic>
                  <pic:nvPicPr>
                    <pic:cNvPr descr="https://biomodhub.github.io/biomod2/articles/pictures/SCHEMA_BIOMOD2_WORKFLOW_functions.png" id="212" name="Picture"/>
                    <pic:cNvPicPr>
                      <a:picLocks noChangeArrowheads="1" noChangeAspect="1"/>
                    </pic:cNvPicPr>
                  </pic:nvPicPr>
                  <pic:blipFill>
                    <a:blip r:embed="rId96"/>
                    <a:stretch>
                      <a:fillRect/>
                    </a:stretch>
                  </pic:blipFill>
                  <pic:spPr bwMode="auto">
                    <a:xfrm>
                      <a:off x="0" y="0"/>
                      <a:ext cx="5334000" cy="2075693"/>
                    </a:xfrm>
                    <a:prstGeom prst="rect">
                      <a:avLst/>
                    </a:prstGeom>
                    <a:noFill/>
                    <a:ln w="9525">
                      <a:noFill/>
                      <a:headEnd/>
                      <a:tailEnd/>
                    </a:ln>
                  </pic:spPr>
                </pic:pic>
              </a:graphicData>
            </a:graphic>
          </wp:inline>
        </w:drawing>
      </w:r>
    </w:p>
    <w:p>
      <w:pPr>
        <w:numPr>
          <w:ilvl w:val="0"/>
          <w:numId w:val="1033"/>
        </w:numPr>
      </w:pPr>
      <w:hyperlink r:id="rId57">
        <w:r>
          <w:rPr>
            <w:rStyle w:val="VerbatimChar"/>
          </w:rPr>
          <w:t xml:space="preserve">eks</w:t>
        </w:r>
      </w:hyperlink>
      <w:r>
        <w:br/>
      </w:r>
      <w:r>
        <w:rPr>
          <w:iCs/>
          <w:i/>
        </w:rPr>
        <w:t xml:space="preserve">Tidy and Geospatial Kernel Smoothing for spatially filtering outlier observations</w:t>
      </w:r>
    </w:p>
    <w:tbl>
      <w:tblPr>
        <w:tblStyle w:val="Table"/>
        <w:tblW w:type="pct" w:w="5000"/>
        <w:tblLook w:firstRow="0" w:lastRow="0" w:firstColumn="0" w:lastColumn="0" w:noHBand="0" w:noVBand="0" w:val="0000"/>
        <w:jc w:val="start"/>
        <w:tblInd w:w="720" w:type="dxa"/>
        <w:tblLayout w:type="fixed"/>
      </w:tblPr>
      <w:tblGrid>
        <w:gridCol w:w="7920"/>
      </w:tblGrid>
      <w:tr>
        <w:tc>
          <w:tcPr/>
          <w:bookmarkStart w:id="215" w:name="fig-eks"/>
          <w:p>
            <w:pPr>
              <w:pStyle w:val="Compact"/>
              <w:jc w:val="center"/>
            </w:pPr>
            <w:r>
              <w:drawing>
                <wp:inline>
                  <wp:extent cx="4620126" cy="4620126"/>
                  <wp:effectExtent b="0" l="0" r="0" t="0"/>
                  <wp:docPr descr="" title="" id="213" name="Picture"/>
                  <a:graphic>
                    <a:graphicData uri="http://schemas.openxmlformats.org/drawingml/2006/picture">
                      <pic:pic>
                        <pic:nvPicPr>
                          <pic:cNvPr descr="figures/software/eks.png" id="214" name="Picture"/>
                          <pic:cNvPicPr>
                            <a:picLocks noChangeArrowheads="1" noChangeAspect="1"/>
                          </pic:cNvPicPr>
                        </pic:nvPicPr>
                        <pic:blipFill>
                          <a:blip r:embed="rId58"/>
                          <a:stretch>
                            <a:fillRect/>
                          </a:stretch>
                        </pic:blipFill>
                        <pic:spPr bwMode="auto">
                          <a:xfrm>
                            <a:off x="0" y="0"/>
                            <a:ext cx="4620126" cy="46201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20.1: Source:</w:t>
            </w:r>
            <w:r>
              <w:t xml:space="preserve"> </w:t>
            </w:r>
            <w:hyperlink r:id="rId57">
              <w:r>
                <w:rPr>
                  <w:rStyle w:val="Hyperlink"/>
                </w:rPr>
                <w:t xml:space="preserve">Kernel density estimates for tidy and geospatial data in the eks package</w:t>
              </w:r>
            </w:hyperlink>
          </w:p>
          <w:bookmarkEnd w:id="215"/>
        </w:tc>
      </w:tr>
    </w:tbl>
    <w:p>
      <w:pPr>
        <w:numPr>
          <w:ilvl w:val="0"/>
          <w:numId w:val="1033"/>
        </w:numPr>
      </w:pPr>
      <w:hyperlink r:id="rId216">
        <w:r>
          <w:rPr>
            <w:rStyle w:val="VerbatimChar"/>
          </w:rPr>
          <w:t xml:space="preserve">predicts</w:t>
        </w:r>
      </w:hyperlink>
      <w:r>
        <w:br/>
      </w:r>
      <w:r>
        <w:rPr>
          <w:iCs/>
          <w:i/>
        </w:rPr>
        <w:t xml:space="preserve">New R library using terra for predicting from fitted model</w:t>
      </w:r>
    </w:p>
    <w:bookmarkEnd w:id="217"/>
    <w:bookmarkStart w:id="219" w:name="python"/>
    <w:p>
      <w:pPr>
        <w:pStyle w:val="Heading2"/>
      </w:pPr>
      <w:r>
        <w:t xml:space="preserve">Python</w:t>
      </w:r>
    </w:p>
    <w:p>
      <w:pPr>
        <w:numPr>
          <w:ilvl w:val="0"/>
          <w:numId w:val="1034"/>
        </w:numPr>
        <w:pStyle w:val="Compact"/>
      </w:pPr>
      <w:hyperlink r:id="rId218">
        <w:r>
          <w:rPr>
            <w:rStyle w:val="Hyperlink"/>
          </w:rPr>
          <w:t xml:space="preserve">Xarray</w:t>
        </w:r>
      </w:hyperlink>
      <w:r>
        <w:br/>
      </w:r>
      <w:r>
        <w:t xml:space="preserve">Xarray makes working with labelled multi-dimensional arrays in Python simple, efficient, and fun!</w:t>
      </w:r>
    </w:p>
    <w:bookmarkEnd w:id="219"/>
    <w:bookmarkStart w:id="222" w:name="google-earth-engine"/>
    <w:p>
      <w:pPr>
        <w:pStyle w:val="Heading2"/>
      </w:pPr>
      <w:r>
        <w:t xml:space="preserve">Google Earth Engine</w:t>
      </w:r>
    </w:p>
    <w:p>
      <w:pPr>
        <w:numPr>
          <w:ilvl w:val="0"/>
          <w:numId w:val="1035"/>
        </w:numPr>
        <w:pStyle w:val="Compact"/>
      </w:pPr>
      <w:hyperlink r:id="rId220">
        <w:r>
          <w:rPr>
            <w:rStyle w:val="Hyperlink"/>
          </w:rPr>
          <w:t xml:space="preserve">XEE</w:t>
        </w:r>
      </w:hyperlink>
      <w:r>
        <w:br/>
      </w:r>
      <w:r>
        <w:t xml:space="preserve">XEE is a new Python package for Earth Engine that provides a set of functions to facilitate the use of Earth Engine API. It is designed to be used in Jupyter notebooks and Google Colab.</w:t>
      </w:r>
      <w:r>
        <w:t xml:space="preserve"> </w:t>
      </w:r>
      <w:hyperlink r:id="rId221">
        <w:r>
          <w:rPr>
            <w:rStyle w:val="Hyperlink"/>
          </w:rPr>
          <w:t xml:space="preserve">Documentation</w:t>
        </w:r>
      </w:hyperlink>
    </w:p>
    <w:bookmarkEnd w:id="222"/>
    <w:bookmarkEnd w:id="22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IUCN RedList range maps:</w:t>
      </w:r>
      <w:r>
        <w:t xml:space="preserve"> </w:t>
      </w:r>
      <w:hyperlink r:id="rId21">
        <w:r>
          <w:rPr>
            <w:rStyle w:val="Hyperlink"/>
          </w:rPr>
          <w:t xml:space="preserve">https://www.iucnredlist.org/resources/spatial-data-download</w:t>
        </w:r>
      </w:hyperlink>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194" Target="media/rId194.png" /><Relationship Type="http://schemas.openxmlformats.org/officeDocument/2006/relationships/image" Id="rId182" Target="media/rId182.png" /><Relationship Type="http://schemas.openxmlformats.org/officeDocument/2006/relationships/image" Id="rId207" Target="media/rId207.png" /><Relationship Type="http://schemas.openxmlformats.org/officeDocument/2006/relationships/image" Id="rId201" Target="media/rId201.png" /><Relationship Type="http://schemas.openxmlformats.org/officeDocument/2006/relationships/image" Id="rId86" Target="media/rId86.png" /><Relationship Type="http://schemas.openxmlformats.org/officeDocument/2006/relationships/image" Id="rId100" Target="media/rId100.png" /><Relationship Type="http://schemas.openxmlformats.org/officeDocument/2006/relationships/image" Id="rId58" Target="media/rId58.png" /><Relationship Type="http://schemas.openxmlformats.org/officeDocument/2006/relationships/image" Id="rId96" Target="media/rId96.png" /><Relationship Type="http://schemas.openxmlformats.org/officeDocument/2006/relationships/image" Id="rId188" Target="media/rId188.png" /><Relationship Type="http://schemas.openxmlformats.org/officeDocument/2006/relationships/image" Id="rId32" Target="media/rId32.png" /><Relationship Type="http://schemas.openxmlformats.org/officeDocument/2006/relationships/image" Id="rId75" Target="media/rId75.png" /><Relationship Type="http://schemas.openxmlformats.org/officeDocument/2006/relationships/image" Id="rId48" Target="media/rId48.png" /><Relationship Type="http://schemas.openxmlformats.org/officeDocument/2006/relationships/hyperlink" Id="rId178" Target="MarineBON.org" TargetMode="External" /><Relationship Type="http://schemas.openxmlformats.org/officeDocument/2006/relationships/hyperlink" Id="rId125" Target="MarineSpeciesMaps.org" TargetMode="External" /><Relationship Type="http://schemas.openxmlformats.org/officeDocument/2006/relationships/hyperlink" Id="rId25" Target="OBIS.org" TargetMode="External" /><Relationship Type="http://schemas.openxmlformats.org/officeDocument/2006/relationships/hyperlink" Id="rId216" Target="Species%20distribution%20modeling,%20calibration%20and%20evaluation,%20ensemble%20modeling" TargetMode="External" /><Relationship Type="http://schemas.openxmlformats.org/officeDocument/2006/relationships/hyperlink" Id="rId138" Target="http://dx.doi.org/10.1111/j.1472-4642.2010.00725.x" TargetMode="External" /><Relationship Type="http://schemas.openxmlformats.org/officeDocument/2006/relationships/hyperlink" Id="rId120" Target="https://apps-st.fisheries.noaa.gov/dismap/" TargetMode="External" /><Relationship Type="http://schemas.openxmlformats.org/officeDocument/2006/relationships/hyperlink" Id="rId24" Target="https://aquamaps.org/" TargetMode="External" /><Relationship Type="http://schemas.openxmlformats.org/officeDocument/2006/relationships/hyperlink" Id="rId95" Target="https://biomodhub.github.io/biomod2/" TargetMode="External" /><Relationship Type="http://schemas.openxmlformats.org/officeDocument/2006/relationships/hyperlink" Id="rId65" Target="https://biomodhub.github.io/biomod2/articles/vignette_pseudoAbsences.html" TargetMode="External" /><Relationship Type="http://schemas.openxmlformats.org/officeDocument/2006/relationships/hyperlink" Id="rId26" Target="https://cran.r-project.org/web/packages/dismo/vignettes/sdm.pdf" TargetMode="External" /><Relationship Type="http://schemas.openxmlformats.org/officeDocument/2006/relationships/hyperlink" Id="rId57" Target="https://cran.r-project.org/web/packages/eks/vignettes/tidysf_kde.html" TargetMode="External" /><Relationship Type="http://schemas.openxmlformats.org/officeDocument/2006/relationships/hyperlink" Id="rId89" Target="https://cran.rstudio.com/web/packages/ROCR/vignettes/ROCR.html" TargetMode="External" /><Relationship Type="http://schemas.openxmlformats.org/officeDocument/2006/relationships/hyperlink" Id="rId91" Target="https://developers.google.com/machine-learning/crash-course/classification/roc-and-auc" TargetMode="External" /><Relationship Type="http://schemas.openxmlformats.org/officeDocument/2006/relationships/hyperlink" Id="rId43" Target="https://docs.github.com/en/get-started/quickstart/hello-world" TargetMode="External" /><Relationship Type="http://schemas.openxmlformats.org/officeDocument/2006/relationships/hyperlink" Id="rId218" Target="https://docs.xarray.dev/en/stable/" TargetMode="External" /><Relationship Type="http://schemas.openxmlformats.org/officeDocument/2006/relationships/hyperlink" Id="rId132" Target="https://doi.org/10.1016/j.ecoinf.2023.102147" TargetMode="External" /><Relationship Type="http://schemas.openxmlformats.org/officeDocument/2006/relationships/hyperlink" Id="rId160" Target="https://doi.org/10.1016/j.ecolmodel.2005.03.026" TargetMode="External" /><Relationship Type="http://schemas.openxmlformats.org/officeDocument/2006/relationships/hyperlink" Id="rId164" Target="https://doi.org/10.1016/j.ecolmodel.2009.10.025" TargetMode="External" /><Relationship Type="http://schemas.openxmlformats.org/officeDocument/2006/relationships/hyperlink" Id="rId172" Target="https://doi.org/10.1016/j.marpol.2020.103927" TargetMode="External" /><Relationship Type="http://schemas.openxmlformats.org/officeDocument/2006/relationships/hyperlink" Id="rId142" Target="https://doi.org/10.1016/j.rse.2017.06.031" TargetMode="External" /><Relationship Type="http://schemas.openxmlformats.org/officeDocument/2006/relationships/hyperlink" Id="rId148" Target="https://doi.org/10.1016/j.tree.2023.09.017" TargetMode="External" /><Relationship Type="http://schemas.openxmlformats.org/officeDocument/2006/relationships/hyperlink" Id="rId170" Target="https://doi.org/10.1038/nature09329" TargetMode="External" /><Relationship Type="http://schemas.openxmlformats.org/officeDocument/2006/relationships/hyperlink" Id="rId146" Target="https://doi.org/10.1038/nature11397" TargetMode="External" /><Relationship Type="http://schemas.openxmlformats.org/officeDocument/2006/relationships/hyperlink" Id="rId166" Target="https://doi.org/10.1038/srep22615" TargetMode="External" /><Relationship Type="http://schemas.openxmlformats.org/officeDocument/2006/relationships/hyperlink" Id="rId158" Target="https://doi.org/10.1111/ecog.03049" TargetMode="External" /><Relationship Type="http://schemas.openxmlformats.org/officeDocument/2006/relationships/hyperlink" Id="rId174" Target="https://doi.org/10.1111/ecog.04960" TargetMode="External" /><Relationship Type="http://schemas.openxmlformats.org/officeDocument/2006/relationships/hyperlink" Id="rId152" Target="https://doi.org/10.1111/ecog.06547" TargetMode="External" /><Relationship Type="http://schemas.openxmlformats.org/officeDocument/2006/relationships/hyperlink" Id="rId162" Target="https://doi.org/10.1111/j.0906-7590.2008.5203.x" TargetMode="External" /><Relationship Type="http://schemas.openxmlformats.org/officeDocument/2006/relationships/hyperlink" Id="rId130" Target="https://doi.org/10.1111/j.2041-210X.2011.00172.x" TargetMode="External" /><Relationship Type="http://schemas.openxmlformats.org/officeDocument/2006/relationships/hyperlink" Id="rId128" Target="https://doi.org/10.1126/sciadv.aat4858" TargetMode="External" /><Relationship Type="http://schemas.openxmlformats.org/officeDocument/2006/relationships/hyperlink" Id="rId134" Target="https://doi.org/10.1126/science.abo0526" TargetMode="External" /><Relationship Type="http://schemas.openxmlformats.org/officeDocument/2006/relationships/hyperlink" Id="rId136" Target="https://doi.org/10.1146/annurev.ecolsys.110308.120159" TargetMode="External" /><Relationship Type="http://schemas.openxmlformats.org/officeDocument/2006/relationships/hyperlink" Id="rId140" Target="https://doi.org/10.1371/journal.pone.0011914" TargetMode="External" /><Relationship Type="http://schemas.openxmlformats.org/officeDocument/2006/relationships/hyperlink" Id="rId150" Target="https://doi.org/10.3354/meps316285" TargetMode="External" /><Relationship Type="http://schemas.openxmlformats.org/officeDocument/2006/relationships/hyperlink" Id="rId156" Target="https://doi.org/10.3389/fmars.2018.00211" TargetMode="External" /><Relationship Type="http://schemas.openxmlformats.org/officeDocument/2006/relationships/hyperlink" Id="rId29" Target="https://en.wikipedia.org/wiki/30_by_30" TargetMode="External" /><Relationship Type="http://schemas.openxmlformats.org/officeDocument/2006/relationships/hyperlink" Id="rId220" Target="https://github.com/google/Xee" TargetMode="External" /><Relationship Type="http://schemas.openxmlformats.org/officeDocument/2006/relationships/hyperlink" Id="rId42" Target="https://github.com/marinebon/MarineSDMs/issues/new/choose" TargetMode="External" /><Relationship Type="http://schemas.openxmlformats.org/officeDocument/2006/relationships/hyperlink" Id="rId187" Target="https://github.com/marinebon/aquamaps-downscaled/blob/main/index.qmd" TargetMode="External" /><Relationship Type="http://schemas.openxmlformats.org/officeDocument/2006/relationships/hyperlink" Id="rId181" Target="https://github.com/marinebon/aquamaps-downscaled/tree/main/sp-map" TargetMode="External" /><Relationship Type="http://schemas.openxmlformats.org/officeDocument/2006/relationships/hyperlink" Id="rId193" Target="https://github.com/marinebon/aquamapsduckdb/tree/main/inst/app" TargetMode="External" /><Relationship Type="http://schemas.openxmlformats.org/officeDocument/2006/relationships/hyperlink" Id="rId206" Target="https://github.com/marinebon/sdm-explore/blob/main/explore_obis.qmd" TargetMode="External" /><Relationship Type="http://schemas.openxmlformats.org/officeDocument/2006/relationships/hyperlink" Id="rId200" Target="https://github.com/marinebon/sdm-explore/blob/main/sdm_1.qmd" TargetMode="External" /><Relationship Type="http://schemas.openxmlformats.org/officeDocument/2006/relationships/hyperlink" Id="rId168" Target="https://github.com/raquamaps/aquamapsdata" TargetMode="External" /><Relationship Type="http://schemas.openxmlformats.org/officeDocument/2006/relationships/hyperlink" Id="rId221" Target="https://google.github.io/Xee/" TargetMode="External" /><Relationship Type="http://schemas.openxmlformats.org/officeDocument/2006/relationships/hyperlink" Id="rId41" Target="https://marinebon.github.io/MarineSDMs/MarineSDMs.docx" TargetMode="External" /><Relationship Type="http://schemas.openxmlformats.org/officeDocument/2006/relationships/hyperlink" Id="rId40" Target="https://marinebon.github.io/MarineSDMs/MarineSDMs.pdf" TargetMode="External" /><Relationship Type="http://schemas.openxmlformats.org/officeDocument/2006/relationships/hyperlink" Id="rId186" Target="https://marinebon.github.io/aquamaps-downscaled/" TargetMode="External" /><Relationship Type="http://schemas.openxmlformats.org/officeDocument/2006/relationships/hyperlink" Id="rId105" Target="https://marinebon.github.io/gmbi/articles/calc.html#assign-taxonomic-groups" TargetMode="External" /><Relationship Type="http://schemas.openxmlformats.org/officeDocument/2006/relationships/hyperlink" Id="rId205" Target="https://marinebon.github.io/sdm-explore/explore_obis.html" TargetMode="External" /><Relationship Type="http://schemas.openxmlformats.org/officeDocument/2006/relationships/hyperlink" Id="rId199" Target="https://marinebon.github.io/sdm-explore/sdm_1.html" TargetMode="External" /><Relationship Type="http://schemas.openxmlformats.org/officeDocument/2006/relationships/hyperlink" Id="rId197" Target="https://raquamaps.github.io/aquamapsdata/articles/intro.html" TargetMode="External" /><Relationship Type="http://schemas.openxmlformats.org/officeDocument/2006/relationships/hyperlink" Id="rId27" Target="https://rspatial.org/raster/sdm/" TargetMode="External" /><Relationship Type="http://schemas.openxmlformats.org/officeDocument/2006/relationships/hyperlink" Id="rId28" Target="https://rspatial.org/sdm/" TargetMode="External" /><Relationship Type="http://schemas.openxmlformats.org/officeDocument/2006/relationships/hyperlink" Id="rId121" Target="https://seamap.env.duke.edu/models/" TargetMode="External" /><Relationship Type="http://schemas.openxmlformats.org/officeDocument/2006/relationships/hyperlink" Id="rId180" Target="https://shiny.marinebon.app/am-fine/" TargetMode="External" /><Relationship Type="http://schemas.openxmlformats.org/officeDocument/2006/relationships/hyperlink" Id="rId192" Target="https://shiny.marinebon.app/am-sanct/" TargetMode="External" /><Relationship Type="http://schemas.openxmlformats.org/officeDocument/2006/relationships/hyperlink" Id="rId81" Target="https://topepo.github.io/caret/available-models.html" TargetMode="External" /><Relationship Type="http://schemas.openxmlformats.org/officeDocument/2006/relationships/hyperlink" Id="rId124" Target="https://www.arcgis.com/index.html" TargetMode="External" /><Relationship Type="http://schemas.openxmlformats.org/officeDocument/2006/relationships/hyperlink" Id="rId123" Target="https://www.dataone.org/" TargetMode="External" /><Relationship Type="http://schemas.openxmlformats.org/officeDocument/2006/relationships/hyperlink" Id="rId154" Target="https://www.frontiersin.org/articles/10.3389/fmars.2019.00588" TargetMode="External" /><Relationship Type="http://schemas.openxmlformats.org/officeDocument/2006/relationships/hyperlink" Id="rId21" Target="https://www.iucnredlist.org/resources/spatial-data-download" TargetMode="External" /><Relationship Type="http://schemas.openxmlformats.org/officeDocument/2006/relationships/hyperlink" Id="rId144" Target="https://www.jstor.org/stable/43924357" TargetMode="External" /><Relationship Type="http://schemas.openxmlformats.org/officeDocument/2006/relationships/hyperlink" Id="rId109" Target="https://www.natureserve.org/conservation-status-assessment" TargetMode="External" /><Relationship Type="http://schemas.openxmlformats.org/officeDocument/2006/relationships/hyperlink" Id="rId122" Target="https://www.ncei.noaa.gov/" TargetMode="External" /><Relationship Type="http://schemas.openxmlformats.org/officeDocument/2006/relationships/hyperlink" Id="rId30" Target="https://www.noaa.gov/america-the-beautiful" TargetMode="External" /></Relationships>
</file>

<file path=word/_rels/footnotes.xml.rels><?xml version="1.0" encoding="UTF-8"?><Relationships xmlns="http://schemas.openxmlformats.org/package/2006/relationships"><Relationship Type="http://schemas.openxmlformats.org/officeDocument/2006/relationships/hyperlink" Id="rId178" Target="MarineBON.org" TargetMode="External" /><Relationship Type="http://schemas.openxmlformats.org/officeDocument/2006/relationships/hyperlink" Id="rId125" Target="MarineSpeciesMaps.org" TargetMode="External" /><Relationship Type="http://schemas.openxmlformats.org/officeDocument/2006/relationships/hyperlink" Id="rId25" Target="OBIS.org" TargetMode="External" /><Relationship Type="http://schemas.openxmlformats.org/officeDocument/2006/relationships/hyperlink" Id="rId216" Target="Species%20distribution%20modeling,%20calibration%20and%20evaluation,%20ensemble%20modeling" TargetMode="External" /><Relationship Type="http://schemas.openxmlformats.org/officeDocument/2006/relationships/hyperlink" Id="rId138" Target="http://dx.doi.org/10.1111/j.1472-4642.2010.00725.x" TargetMode="External" /><Relationship Type="http://schemas.openxmlformats.org/officeDocument/2006/relationships/hyperlink" Id="rId120" Target="https://apps-st.fisheries.noaa.gov/dismap/" TargetMode="External" /><Relationship Type="http://schemas.openxmlformats.org/officeDocument/2006/relationships/hyperlink" Id="rId24" Target="https://aquamaps.org/" TargetMode="External" /><Relationship Type="http://schemas.openxmlformats.org/officeDocument/2006/relationships/hyperlink" Id="rId95" Target="https://biomodhub.github.io/biomod2/" TargetMode="External" /><Relationship Type="http://schemas.openxmlformats.org/officeDocument/2006/relationships/hyperlink" Id="rId65" Target="https://biomodhub.github.io/biomod2/articles/vignette_pseudoAbsences.html" TargetMode="External" /><Relationship Type="http://schemas.openxmlformats.org/officeDocument/2006/relationships/hyperlink" Id="rId26" Target="https://cran.r-project.org/web/packages/dismo/vignettes/sdm.pdf" TargetMode="External" /><Relationship Type="http://schemas.openxmlformats.org/officeDocument/2006/relationships/hyperlink" Id="rId57" Target="https://cran.r-project.org/web/packages/eks/vignettes/tidysf_kde.html" TargetMode="External" /><Relationship Type="http://schemas.openxmlformats.org/officeDocument/2006/relationships/hyperlink" Id="rId89" Target="https://cran.rstudio.com/web/packages/ROCR/vignettes/ROCR.html" TargetMode="External" /><Relationship Type="http://schemas.openxmlformats.org/officeDocument/2006/relationships/hyperlink" Id="rId91" Target="https://developers.google.com/machine-learning/crash-course/classification/roc-and-auc" TargetMode="External" /><Relationship Type="http://schemas.openxmlformats.org/officeDocument/2006/relationships/hyperlink" Id="rId43" Target="https://docs.github.com/en/get-started/quickstart/hello-world" TargetMode="External" /><Relationship Type="http://schemas.openxmlformats.org/officeDocument/2006/relationships/hyperlink" Id="rId218" Target="https://docs.xarray.dev/en/stable/" TargetMode="External" /><Relationship Type="http://schemas.openxmlformats.org/officeDocument/2006/relationships/hyperlink" Id="rId132" Target="https://doi.org/10.1016/j.ecoinf.2023.102147" TargetMode="External" /><Relationship Type="http://schemas.openxmlformats.org/officeDocument/2006/relationships/hyperlink" Id="rId160" Target="https://doi.org/10.1016/j.ecolmodel.2005.03.026" TargetMode="External" /><Relationship Type="http://schemas.openxmlformats.org/officeDocument/2006/relationships/hyperlink" Id="rId164" Target="https://doi.org/10.1016/j.ecolmodel.2009.10.025" TargetMode="External" /><Relationship Type="http://schemas.openxmlformats.org/officeDocument/2006/relationships/hyperlink" Id="rId172" Target="https://doi.org/10.1016/j.marpol.2020.103927" TargetMode="External" /><Relationship Type="http://schemas.openxmlformats.org/officeDocument/2006/relationships/hyperlink" Id="rId142" Target="https://doi.org/10.1016/j.rse.2017.06.031" TargetMode="External" /><Relationship Type="http://schemas.openxmlformats.org/officeDocument/2006/relationships/hyperlink" Id="rId148" Target="https://doi.org/10.1016/j.tree.2023.09.017" TargetMode="External" /><Relationship Type="http://schemas.openxmlformats.org/officeDocument/2006/relationships/hyperlink" Id="rId170" Target="https://doi.org/10.1038/nature09329" TargetMode="External" /><Relationship Type="http://schemas.openxmlformats.org/officeDocument/2006/relationships/hyperlink" Id="rId146" Target="https://doi.org/10.1038/nature11397" TargetMode="External" /><Relationship Type="http://schemas.openxmlformats.org/officeDocument/2006/relationships/hyperlink" Id="rId166" Target="https://doi.org/10.1038/srep22615" TargetMode="External" /><Relationship Type="http://schemas.openxmlformats.org/officeDocument/2006/relationships/hyperlink" Id="rId158" Target="https://doi.org/10.1111/ecog.03049" TargetMode="External" /><Relationship Type="http://schemas.openxmlformats.org/officeDocument/2006/relationships/hyperlink" Id="rId174" Target="https://doi.org/10.1111/ecog.04960" TargetMode="External" /><Relationship Type="http://schemas.openxmlformats.org/officeDocument/2006/relationships/hyperlink" Id="rId152" Target="https://doi.org/10.1111/ecog.06547" TargetMode="External" /><Relationship Type="http://schemas.openxmlformats.org/officeDocument/2006/relationships/hyperlink" Id="rId162" Target="https://doi.org/10.1111/j.0906-7590.2008.5203.x" TargetMode="External" /><Relationship Type="http://schemas.openxmlformats.org/officeDocument/2006/relationships/hyperlink" Id="rId130" Target="https://doi.org/10.1111/j.2041-210X.2011.00172.x" TargetMode="External" /><Relationship Type="http://schemas.openxmlformats.org/officeDocument/2006/relationships/hyperlink" Id="rId128" Target="https://doi.org/10.1126/sciadv.aat4858" TargetMode="External" /><Relationship Type="http://schemas.openxmlformats.org/officeDocument/2006/relationships/hyperlink" Id="rId134" Target="https://doi.org/10.1126/science.abo0526" TargetMode="External" /><Relationship Type="http://schemas.openxmlformats.org/officeDocument/2006/relationships/hyperlink" Id="rId136" Target="https://doi.org/10.1146/annurev.ecolsys.110308.120159" TargetMode="External" /><Relationship Type="http://schemas.openxmlformats.org/officeDocument/2006/relationships/hyperlink" Id="rId140" Target="https://doi.org/10.1371/journal.pone.0011914" TargetMode="External" /><Relationship Type="http://schemas.openxmlformats.org/officeDocument/2006/relationships/hyperlink" Id="rId150" Target="https://doi.org/10.3354/meps316285" TargetMode="External" /><Relationship Type="http://schemas.openxmlformats.org/officeDocument/2006/relationships/hyperlink" Id="rId156" Target="https://doi.org/10.3389/fmars.2018.00211" TargetMode="External" /><Relationship Type="http://schemas.openxmlformats.org/officeDocument/2006/relationships/hyperlink" Id="rId29" Target="https://en.wikipedia.org/wiki/30_by_30" TargetMode="External" /><Relationship Type="http://schemas.openxmlformats.org/officeDocument/2006/relationships/hyperlink" Id="rId220" Target="https://github.com/google/Xee" TargetMode="External" /><Relationship Type="http://schemas.openxmlformats.org/officeDocument/2006/relationships/hyperlink" Id="rId42" Target="https://github.com/marinebon/MarineSDMs/issues/new/choose" TargetMode="External" /><Relationship Type="http://schemas.openxmlformats.org/officeDocument/2006/relationships/hyperlink" Id="rId187" Target="https://github.com/marinebon/aquamaps-downscaled/blob/main/index.qmd" TargetMode="External" /><Relationship Type="http://schemas.openxmlformats.org/officeDocument/2006/relationships/hyperlink" Id="rId181" Target="https://github.com/marinebon/aquamaps-downscaled/tree/main/sp-map" TargetMode="External" /><Relationship Type="http://schemas.openxmlformats.org/officeDocument/2006/relationships/hyperlink" Id="rId193" Target="https://github.com/marinebon/aquamapsduckdb/tree/main/inst/app" TargetMode="External" /><Relationship Type="http://schemas.openxmlformats.org/officeDocument/2006/relationships/hyperlink" Id="rId206" Target="https://github.com/marinebon/sdm-explore/blob/main/explore_obis.qmd" TargetMode="External" /><Relationship Type="http://schemas.openxmlformats.org/officeDocument/2006/relationships/hyperlink" Id="rId200" Target="https://github.com/marinebon/sdm-explore/blob/main/sdm_1.qmd" TargetMode="External" /><Relationship Type="http://schemas.openxmlformats.org/officeDocument/2006/relationships/hyperlink" Id="rId168" Target="https://github.com/raquamaps/aquamapsdata" TargetMode="External" /><Relationship Type="http://schemas.openxmlformats.org/officeDocument/2006/relationships/hyperlink" Id="rId221" Target="https://google.github.io/Xee/" TargetMode="External" /><Relationship Type="http://schemas.openxmlformats.org/officeDocument/2006/relationships/hyperlink" Id="rId41" Target="https://marinebon.github.io/MarineSDMs/MarineSDMs.docx" TargetMode="External" /><Relationship Type="http://schemas.openxmlformats.org/officeDocument/2006/relationships/hyperlink" Id="rId40" Target="https://marinebon.github.io/MarineSDMs/MarineSDMs.pdf" TargetMode="External" /><Relationship Type="http://schemas.openxmlformats.org/officeDocument/2006/relationships/hyperlink" Id="rId186" Target="https://marinebon.github.io/aquamaps-downscaled/" TargetMode="External" /><Relationship Type="http://schemas.openxmlformats.org/officeDocument/2006/relationships/hyperlink" Id="rId105" Target="https://marinebon.github.io/gmbi/articles/calc.html#assign-taxonomic-groups" TargetMode="External" /><Relationship Type="http://schemas.openxmlformats.org/officeDocument/2006/relationships/hyperlink" Id="rId205" Target="https://marinebon.github.io/sdm-explore/explore_obis.html" TargetMode="External" /><Relationship Type="http://schemas.openxmlformats.org/officeDocument/2006/relationships/hyperlink" Id="rId199" Target="https://marinebon.github.io/sdm-explore/sdm_1.html" TargetMode="External" /><Relationship Type="http://schemas.openxmlformats.org/officeDocument/2006/relationships/hyperlink" Id="rId197" Target="https://raquamaps.github.io/aquamapsdata/articles/intro.html" TargetMode="External" /><Relationship Type="http://schemas.openxmlformats.org/officeDocument/2006/relationships/hyperlink" Id="rId27" Target="https://rspatial.org/raster/sdm/" TargetMode="External" /><Relationship Type="http://schemas.openxmlformats.org/officeDocument/2006/relationships/hyperlink" Id="rId28" Target="https://rspatial.org/sdm/" TargetMode="External" /><Relationship Type="http://schemas.openxmlformats.org/officeDocument/2006/relationships/hyperlink" Id="rId121" Target="https://seamap.env.duke.edu/models/" TargetMode="External" /><Relationship Type="http://schemas.openxmlformats.org/officeDocument/2006/relationships/hyperlink" Id="rId180" Target="https://shiny.marinebon.app/am-fine/" TargetMode="External" /><Relationship Type="http://schemas.openxmlformats.org/officeDocument/2006/relationships/hyperlink" Id="rId192" Target="https://shiny.marinebon.app/am-sanct/" TargetMode="External" /><Relationship Type="http://schemas.openxmlformats.org/officeDocument/2006/relationships/hyperlink" Id="rId81" Target="https://topepo.github.io/caret/available-models.html" TargetMode="External" /><Relationship Type="http://schemas.openxmlformats.org/officeDocument/2006/relationships/hyperlink" Id="rId124" Target="https://www.arcgis.com/index.html" TargetMode="External" /><Relationship Type="http://schemas.openxmlformats.org/officeDocument/2006/relationships/hyperlink" Id="rId123" Target="https://www.dataone.org/" TargetMode="External" /><Relationship Type="http://schemas.openxmlformats.org/officeDocument/2006/relationships/hyperlink" Id="rId154" Target="https://www.frontiersin.org/articles/10.3389/fmars.2019.00588" TargetMode="External" /><Relationship Type="http://schemas.openxmlformats.org/officeDocument/2006/relationships/hyperlink" Id="rId21" Target="https://www.iucnredlist.org/resources/spatial-data-download" TargetMode="External" /><Relationship Type="http://schemas.openxmlformats.org/officeDocument/2006/relationships/hyperlink" Id="rId144" Target="https://www.jstor.org/stable/43924357" TargetMode="External" /><Relationship Type="http://schemas.openxmlformats.org/officeDocument/2006/relationships/hyperlink" Id="rId109" Target="https://www.natureserve.org/conservation-status-assessment" TargetMode="External" /><Relationship Type="http://schemas.openxmlformats.org/officeDocument/2006/relationships/hyperlink" Id="rId122" Target="https://www.ncei.noaa.gov/" TargetMode="External" /><Relationship Type="http://schemas.openxmlformats.org/officeDocument/2006/relationships/hyperlink" Id="rId30" Target="https://www.noaa.gov/america-the-beautifu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MarineSDMs</dc:title>
  <dc:creator>Benjamin D. Best</dc:creator>
  <cp:keywords/>
  <dcterms:created xsi:type="dcterms:W3CDTF">2024-03-15T16:50:38Z</dcterms:created>
  <dcterms:modified xsi:type="dcterms:W3CDTF">2024-03-15T16:50:38Z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date">
    <vt:lpwstr>2024-03-15</vt:lpwstr>
  </property>
  <property fmtid="{D5CDD505-2E9C-101B-9397-08002B2CF9AE}" pid="11" name="date-format">
    <vt:lpwstr>YYYY-MM-DD</vt:lpwstr>
  </property>
  <property fmtid="{D5CDD505-2E9C-101B-9397-08002B2CF9AE}" pid="12" name="editor">
    <vt:lpwstr>visual</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ghtbox">
    <vt:lpwstr>auto</vt:lpwstr>
  </property>
  <property fmtid="{D5CDD505-2E9C-101B-9397-08002B2CF9AE}" pid="18" name="subtitle">
    <vt:lpwstr>Marine Species Distribution Models</vt:lpwstr>
  </property>
  <property fmtid="{D5CDD505-2E9C-101B-9397-08002B2CF9AE}" pid="19" name="template-partials">
    <vt:lpwstr/>
  </property>
  <property fmtid="{D5CDD505-2E9C-101B-9397-08002B2CF9AE}" pid="20" name="toc-title">
    <vt:lpwstr>Table of contents</vt:lpwstr>
  </property>
</Properties>
</file>